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32B" w:rsidRDefault="00946D1A">
      <w:pPr>
        <w:spacing w:line="580" w:lineRule="exact"/>
        <w:ind w:right="-4"/>
        <w:jc w:val="center"/>
        <w:rPr>
          <w:rFonts w:eastAsia="方正小标宋简体"/>
          <w:sz w:val="36"/>
          <w:szCs w:val="36"/>
        </w:rPr>
      </w:pPr>
      <w:bookmarkStart w:id="0" w:name="_GoBack"/>
      <w:bookmarkEnd w:id="0"/>
      <w:r>
        <w:rPr>
          <w:rFonts w:eastAsia="方正小标宋简体" w:hint="eastAsia"/>
          <w:w w:val="95"/>
          <w:sz w:val="44"/>
          <w:szCs w:val="44"/>
        </w:rPr>
        <w:t>淮北市供销合作社联合社“十四五”发展规划</w:t>
      </w:r>
    </w:p>
    <w:p w:rsidR="0067132B" w:rsidRDefault="0067132B">
      <w:pPr>
        <w:pStyle w:val="2"/>
      </w:pPr>
    </w:p>
    <w:p w:rsidR="0067132B" w:rsidRDefault="00946D1A">
      <w:pPr>
        <w:pStyle w:val="a5"/>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一、指导思想</w:t>
      </w:r>
    </w:p>
    <w:p w:rsidR="0067132B" w:rsidRDefault="00946D1A">
      <w:pPr>
        <w:pStyle w:val="a5"/>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深入贯彻落实党的十九大和十九届二中、三中、四中、五中全会精神，全面贯彻落实习近平总书记关于“三农”工作重要论述和对供销合作社工作重要指示批示精神，按照市委市政府和省社部署要求，牢牢把握稳中求进工作总基调，坚持农业农村优先发展总方针，突出高质量发展总目标，自觉践行新发展理念，准确把握“三农”工作新要求，持续深化综合改革，全力服务乡村振兴，加快推进治理体系和治理能力现代化建设，全面提升为农服务能力，努力提高经济发展综合实力，奋力谱写供销合作事业改革发展新篇章，为推进农业</w:t>
      </w:r>
      <w:r>
        <w:rPr>
          <w:rFonts w:ascii="仿宋_GB2312" w:eastAsia="仿宋_GB2312" w:hAnsi="仿宋_GB2312" w:cs="仿宋_GB2312" w:hint="eastAsia"/>
          <w:sz w:val="32"/>
          <w:szCs w:val="32"/>
        </w:rPr>
        <w:t>现代化和乡村振兴、建设新阶段现代化美好淮北作出新贡献。</w:t>
      </w:r>
      <w:r>
        <w:rPr>
          <w:rFonts w:ascii="仿宋_GB2312" w:eastAsia="仿宋_GB2312" w:hAnsi="仿宋_GB2312" w:cs="仿宋_GB2312" w:hint="eastAsia"/>
          <w:sz w:val="32"/>
          <w:szCs w:val="32"/>
        </w:rPr>
        <w:t xml:space="preserve"> </w:t>
      </w:r>
    </w:p>
    <w:p w:rsidR="0067132B" w:rsidRDefault="00946D1A">
      <w:pPr>
        <w:pStyle w:val="a5"/>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二、发展目标</w:t>
      </w:r>
    </w:p>
    <w:p w:rsidR="0067132B" w:rsidRDefault="00946D1A">
      <w:pPr>
        <w:pStyle w:val="a5"/>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到</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年，组织体系更加完善、服务功能更加完备、市场运作更加高效、农民联结更加紧密。销售总额较</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年年均增长</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，利润总额较</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年年均增长</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，所有者权益较</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年年均增长</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；新建基层社</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个，创建标杆基层社总社级</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个、省社级</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个，改造薄弱基层社</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个，新增基层社社员</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万人；新建农村综合服务社</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个，新建农业生产服务中心</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个，新建庄稼医院</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个，新增土地托管等农业社会化服务面积</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万亩，创建示范农民合作社</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w:t>
      </w:r>
    </w:p>
    <w:p w:rsidR="0067132B" w:rsidRDefault="0067132B">
      <w:pPr>
        <w:pStyle w:val="a5"/>
        <w:spacing w:line="560" w:lineRule="exact"/>
        <w:ind w:left="76" w:firstLine="640"/>
        <w:rPr>
          <w:rFonts w:ascii="仿宋" w:eastAsia="仿宋" w:hAnsi="仿宋"/>
          <w:sz w:val="36"/>
          <w:szCs w:val="36"/>
        </w:rPr>
      </w:pPr>
    </w:p>
    <w:p w:rsidR="0067132B" w:rsidRDefault="00946D1A">
      <w:pPr>
        <w:adjustRightInd w:val="0"/>
        <w:spacing w:line="400" w:lineRule="exact"/>
        <w:jc w:val="center"/>
        <w:rPr>
          <w:rFonts w:ascii="楷体" w:eastAsia="楷体" w:hAnsi="楷体"/>
          <w:b/>
          <w:spacing w:val="-8"/>
          <w:sz w:val="28"/>
          <w:szCs w:val="28"/>
        </w:rPr>
      </w:pPr>
      <w:r>
        <w:rPr>
          <w:rFonts w:ascii="方正小标宋简体" w:eastAsia="方正小标宋简体" w:hAnsi="宋体" w:hint="eastAsia"/>
          <w:spacing w:val="-8"/>
          <w:sz w:val="36"/>
          <w:szCs w:val="36"/>
        </w:rPr>
        <w:t>供</w:t>
      </w:r>
      <w:r>
        <w:rPr>
          <w:rFonts w:ascii="方正小标宋简体" w:eastAsia="方正小标宋简体" w:hAnsi="宋体" w:hint="eastAsia"/>
          <w:spacing w:val="-8"/>
          <w:sz w:val="36"/>
          <w:szCs w:val="36"/>
        </w:rPr>
        <w:t>销合作社“十四五”发展规划目标任务表</w:t>
      </w:r>
    </w:p>
    <w:tbl>
      <w:tblPr>
        <w:tblW w:w="8769" w:type="dxa"/>
        <w:jc w:val="center"/>
        <w:tblLayout w:type="fixed"/>
        <w:tblLook w:val="04A0" w:firstRow="1" w:lastRow="0" w:firstColumn="1" w:lastColumn="0" w:noHBand="0" w:noVBand="1"/>
      </w:tblPr>
      <w:tblGrid>
        <w:gridCol w:w="3795"/>
        <w:gridCol w:w="1674"/>
        <w:gridCol w:w="1956"/>
        <w:gridCol w:w="1344"/>
      </w:tblGrid>
      <w:tr w:rsidR="0067132B">
        <w:trPr>
          <w:cantSplit/>
          <w:trHeight w:val="227"/>
          <w:jc w:val="center"/>
        </w:trPr>
        <w:tc>
          <w:tcPr>
            <w:tcW w:w="3795" w:type="dxa"/>
            <w:vMerge w:val="restart"/>
            <w:tcBorders>
              <w:top w:val="single" w:sz="4" w:space="0" w:color="auto"/>
              <w:left w:val="single" w:sz="4" w:space="0" w:color="auto"/>
              <w:bottom w:val="single" w:sz="4" w:space="0" w:color="auto"/>
              <w:right w:val="single" w:sz="4" w:space="0" w:color="auto"/>
            </w:tcBorders>
            <w:vAlign w:val="center"/>
          </w:tcPr>
          <w:p w:rsidR="0067132B" w:rsidRDefault="00946D1A">
            <w:pPr>
              <w:widowControl/>
              <w:spacing w:line="440" w:lineRule="exact"/>
              <w:jc w:val="center"/>
              <w:rPr>
                <w:rFonts w:ascii="黑体" w:eastAsia="黑体" w:hAnsi="黑体"/>
                <w:kern w:val="0"/>
                <w:sz w:val="24"/>
                <w:szCs w:val="24"/>
              </w:rPr>
            </w:pPr>
            <w:r>
              <w:rPr>
                <w:rFonts w:ascii="黑体" w:eastAsia="黑体" w:hAnsi="黑体" w:hint="eastAsia"/>
                <w:kern w:val="0"/>
                <w:sz w:val="24"/>
              </w:rPr>
              <w:t>指</w:t>
            </w:r>
            <w:r>
              <w:rPr>
                <w:rFonts w:ascii="黑体" w:eastAsia="黑体" w:hAnsi="黑体" w:hint="eastAsia"/>
                <w:kern w:val="0"/>
                <w:sz w:val="24"/>
              </w:rPr>
              <w:t xml:space="preserve">   </w:t>
            </w:r>
            <w:r>
              <w:rPr>
                <w:rFonts w:ascii="黑体" w:eastAsia="黑体" w:hAnsi="黑体" w:hint="eastAsia"/>
                <w:kern w:val="0"/>
                <w:sz w:val="24"/>
              </w:rPr>
              <w:t>标</w:t>
            </w:r>
          </w:p>
        </w:tc>
        <w:tc>
          <w:tcPr>
            <w:tcW w:w="3630" w:type="dxa"/>
            <w:gridSpan w:val="2"/>
            <w:tcBorders>
              <w:top w:val="single" w:sz="4" w:space="0" w:color="auto"/>
              <w:left w:val="nil"/>
              <w:bottom w:val="single" w:sz="4" w:space="0" w:color="auto"/>
              <w:right w:val="single" w:sz="4" w:space="0" w:color="auto"/>
            </w:tcBorders>
            <w:vAlign w:val="center"/>
          </w:tcPr>
          <w:p w:rsidR="0067132B" w:rsidRDefault="00946D1A">
            <w:pPr>
              <w:widowControl/>
              <w:spacing w:line="440" w:lineRule="exact"/>
              <w:jc w:val="center"/>
              <w:rPr>
                <w:rFonts w:ascii="黑体" w:eastAsia="黑体" w:hAnsi="黑体"/>
                <w:kern w:val="0"/>
                <w:sz w:val="24"/>
                <w:szCs w:val="24"/>
              </w:rPr>
            </w:pPr>
            <w:r>
              <w:rPr>
                <w:rFonts w:ascii="黑体" w:eastAsia="黑体" w:hAnsi="黑体" w:hint="eastAsia"/>
                <w:kern w:val="0"/>
                <w:sz w:val="24"/>
              </w:rPr>
              <w:t>发展情况</w:t>
            </w:r>
          </w:p>
        </w:tc>
        <w:tc>
          <w:tcPr>
            <w:tcW w:w="1344" w:type="dxa"/>
            <w:tcBorders>
              <w:top w:val="single" w:sz="4" w:space="0" w:color="auto"/>
              <w:left w:val="nil"/>
              <w:bottom w:val="single" w:sz="4" w:space="0" w:color="auto"/>
              <w:right w:val="single" w:sz="4" w:space="0" w:color="auto"/>
            </w:tcBorders>
            <w:vAlign w:val="center"/>
          </w:tcPr>
          <w:p w:rsidR="0067132B" w:rsidRDefault="00946D1A">
            <w:pPr>
              <w:widowControl/>
              <w:spacing w:line="440" w:lineRule="exact"/>
              <w:jc w:val="center"/>
              <w:rPr>
                <w:rFonts w:ascii="黑体" w:eastAsia="黑体" w:hAnsi="黑体"/>
                <w:kern w:val="0"/>
                <w:sz w:val="24"/>
                <w:szCs w:val="24"/>
              </w:rPr>
            </w:pPr>
            <w:r>
              <w:rPr>
                <w:rFonts w:ascii="黑体" w:eastAsia="黑体" w:hAnsi="黑体" w:hint="eastAsia"/>
                <w:kern w:val="0"/>
                <w:sz w:val="24"/>
              </w:rPr>
              <w:t>目标任务</w:t>
            </w:r>
          </w:p>
        </w:tc>
      </w:tr>
      <w:tr w:rsidR="0067132B">
        <w:trPr>
          <w:cantSplit/>
          <w:trHeight w:val="227"/>
          <w:jc w:val="center"/>
        </w:trPr>
        <w:tc>
          <w:tcPr>
            <w:tcW w:w="3795" w:type="dxa"/>
            <w:vMerge/>
            <w:tcBorders>
              <w:top w:val="single" w:sz="4" w:space="0" w:color="auto"/>
              <w:left w:val="single" w:sz="4" w:space="0" w:color="auto"/>
              <w:bottom w:val="single" w:sz="4" w:space="0" w:color="auto"/>
              <w:right w:val="single" w:sz="4" w:space="0" w:color="auto"/>
            </w:tcBorders>
            <w:vAlign w:val="center"/>
          </w:tcPr>
          <w:p w:rsidR="0067132B" w:rsidRDefault="0067132B">
            <w:pPr>
              <w:widowControl/>
              <w:jc w:val="left"/>
              <w:rPr>
                <w:rFonts w:ascii="黑体" w:eastAsia="黑体" w:hAnsi="黑体"/>
                <w:kern w:val="0"/>
                <w:sz w:val="24"/>
                <w:szCs w:val="24"/>
              </w:rPr>
            </w:pPr>
          </w:p>
        </w:tc>
        <w:tc>
          <w:tcPr>
            <w:tcW w:w="1674" w:type="dxa"/>
            <w:tcBorders>
              <w:top w:val="nil"/>
              <w:left w:val="nil"/>
              <w:bottom w:val="single" w:sz="4" w:space="0" w:color="auto"/>
              <w:right w:val="single" w:sz="4" w:space="0" w:color="auto"/>
            </w:tcBorders>
            <w:vAlign w:val="center"/>
          </w:tcPr>
          <w:p w:rsidR="0067132B" w:rsidRDefault="00946D1A">
            <w:pPr>
              <w:widowControl/>
              <w:spacing w:line="440" w:lineRule="exact"/>
              <w:jc w:val="center"/>
              <w:rPr>
                <w:rFonts w:ascii="黑体" w:eastAsia="黑体" w:hAnsi="黑体"/>
                <w:kern w:val="0"/>
                <w:sz w:val="24"/>
                <w:szCs w:val="24"/>
              </w:rPr>
            </w:pPr>
            <w:r>
              <w:rPr>
                <w:rFonts w:ascii="黑体" w:eastAsia="黑体" w:hAnsi="黑体" w:hint="eastAsia"/>
                <w:kern w:val="0"/>
                <w:sz w:val="24"/>
              </w:rPr>
              <w:t>2019</w:t>
            </w:r>
            <w:r>
              <w:rPr>
                <w:rFonts w:ascii="黑体" w:eastAsia="黑体" w:hAnsi="黑体" w:hint="eastAsia"/>
                <w:kern w:val="0"/>
                <w:sz w:val="24"/>
              </w:rPr>
              <w:t>年</w:t>
            </w:r>
          </w:p>
        </w:tc>
        <w:tc>
          <w:tcPr>
            <w:tcW w:w="1956" w:type="dxa"/>
            <w:tcBorders>
              <w:top w:val="nil"/>
              <w:left w:val="nil"/>
              <w:bottom w:val="single" w:sz="4" w:space="0" w:color="auto"/>
              <w:right w:val="single" w:sz="4" w:space="0" w:color="auto"/>
            </w:tcBorders>
            <w:vAlign w:val="center"/>
          </w:tcPr>
          <w:p w:rsidR="0067132B" w:rsidRDefault="00946D1A">
            <w:pPr>
              <w:widowControl/>
              <w:spacing w:line="440" w:lineRule="exact"/>
              <w:jc w:val="center"/>
              <w:rPr>
                <w:rFonts w:ascii="黑体" w:eastAsia="黑体" w:hAnsi="黑体"/>
                <w:kern w:val="0"/>
                <w:sz w:val="24"/>
                <w:szCs w:val="24"/>
              </w:rPr>
            </w:pPr>
            <w:r>
              <w:rPr>
                <w:rFonts w:ascii="黑体" w:eastAsia="黑体" w:hAnsi="黑体" w:hint="eastAsia"/>
                <w:kern w:val="0"/>
                <w:sz w:val="24"/>
              </w:rPr>
              <w:t>2020</w:t>
            </w:r>
            <w:r>
              <w:rPr>
                <w:rFonts w:ascii="黑体" w:eastAsia="黑体" w:hAnsi="黑体" w:hint="eastAsia"/>
                <w:kern w:val="0"/>
                <w:sz w:val="24"/>
              </w:rPr>
              <w:t>年</w:t>
            </w:r>
          </w:p>
        </w:tc>
        <w:tc>
          <w:tcPr>
            <w:tcW w:w="1344" w:type="dxa"/>
            <w:tcBorders>
              <w:top w:val="nil"/>
              <w:left w:val="nil"/>
              <w:bottom w:val="single" w:sz="4" w:space="0" w:color="auto"/>
              <w:right w:val="single" w:sz="4" w:space="0" w:color="auto"/>
            </w:tcBorders>
            <w:vAlign w:val="center"/>
          </w:tcPr>
          <w:p w:rsidR="0067132B" w:rsidRDefault="00946D1A">
            <w:pPr>
              <w:widowControl/>
              <w:spacing w:line="440" w:lineRule="exact"/>
              <w:jc w:val="center"/>
              <w:rPr>
                <w:rFonts w:ascii="黑体" w:eastAsia="黑体" w:hAnsi="黑体"/>
                <w:kern w:val="0"/>
                <w:sz w:val="24"/>
                <w:szCs w:val="24"/>
              </w:rPr>
            </w:pPr>
            <w:r>
              <w:rPr>
                <w:rFonts w:ascii="黑体" w:eastAsia="黑体" w:hAnsi="黑体" w:hint="eastAsia"/>
                <w:kern w:val="0"/>
                <w:sz w:val="24"/>
              </w:rPr>
              <w:t>2025</w:t>
            </w:r>
            <w:r>
              <w:rPr>
                <w:rFonts w:ascii="黑体" w:eastAsia="黑体" w:hAnsi="黑体" w:hint="eastAsia"/>
                <w:kern w:val="0"/>
                <w:sz w:val="24"/>
              </w:rPr>
              <w:t>年</w:t>
            </w:r>
          </w:p>
        </w:tc>
      </w:tr>
      <w:tr w:rsidR="0067132B">
        <w:trPr>
          <w:cantSplit/>
          <w:trHeight w:val="510"/>
          <w:jc w:val="center"/>
        </w:trPr>
        <w:tc>
          <w:tcPr>
            <w:tcW w:w="3795" w:type="dxa"/>
            <w:tcBorders>
              <w:top w:val="nil"/>
              <w:left w:val="single" w:sz="4" w:space="0" w:color="auto"/>
              <w:bottom w:val="single" w:sz="4" w:space="0" w:color="auto"/>
              <w:right w:val="single" w:sz="4" w:space="0" w:color="auto"/>
            </w:tcBorders>
            <w:vAlign w:val="center"/>
          </w:tcPr>
          <w:p w:rsidR="0067132B" w:rsidRDefault="00946D1A">
            <w:pPr>
              <w:widowControl/>
              <w:spacing w:line="440" w:lineRule="exact"/>
              <w:jc w:val="left"/>
              <w:rPr>
                <w:rFonts w:ascii="黑体" w:eastAsia="黑体" w:hAnsi="黑体"/>
                <w:color w:val="000000"/>
                <w:kern w:val="0"/>
                <w:sz w:val="24"/>
                <w:szCs w:val="24"/>
              </w:rPr>
            </w:pPr>
            <w:r>
              <w:rPr>
                <w:rFonts w:ascii="黑体" w:eastAsia="黑体" w:hAnsi="黑体" w:hint="eastAsia"/>
                <w:color w:val="000000"/>
                <w:kern w:val="0"/>
                <w:sz w:val="24"/>
              </w:rPr>
              <w:t>销售总额（亿元）</w:t>
            </w:r>
          </w:p>
        </w:tc>
        <w:tc>
          <w:tcPr>
            <w:tcW w:w="1674" w:type="dxa"/>
            <w:tcBorders>
              <w:top w:val="nil"/>
              <w:left w:val="nil"/>
              <w:bottom w:val="single" w:sz="4" w:space="0" w:color="auto"/>
              <w:right w:val="single" w:sz="4" w:space="0" w:color="auto"/>
            </w:tcBorders>
            <w:vAlign w:val="center"/>
          </w:tcPr>
          <w:p w:rsidR="0067132B" w:rsidRDefault="00946D1A">
            <w:pPr>
              <w:widowControl/>
              <w:spacing w:line="440" w:lineRule="exact"/>
              <w:jc w:val="center"/>
              <w:rPr>
                <w:rFonts w:eastAsia="方正仿宋简体"/>
                <w:color w:val="000000"/>
                <w:kern w:val="0"/>
                <w:sz w:val="24"/>
                <w:szCs w:val="24"/>
              </w:rPr>
            </w:pPr>
            <w:r>
              <w:rPr>
                <w:rFonts w:eastAsia="方正仿宋简体" w:hint="eastAsia"/>
                <w:color w:val="000000"/>
                <w:kern w:val="0"/>
                <w:sz w:val="24"/>
                <w:szCs w:val="24"/>
              </w:rPr>
              <w:t>101.5</w:t>
            </w:r>
          </w:p>
        </w:tc>
        <w:tc>
          <w:tcPr>
            <w:tcW w:w="1956" w:type="dxa"/>
            <w:tcBorders>
              <w:top w:val="nil"/>
              <w:left w:val="nil"/>
              <w:bottom w:val="single" w:sz="4" w:space="0" w:color="auto"/>
              <w:right w:val="single" w:sz="4" w:space="0" w:color="auto"/>
            </w:tcBorders>
            <w:vAlign w:val="center"/>
          </w:tcPr>
          <w:p w:rsidR="0067132B" w:rsidRDefault="00946D1A">
            <w:pPr>
              <w:widowControl/>
              <w:spacing w:line="440" w:lineRule="exact"/>
              <w:jc w:val="center"/>
              <w:rPr>
                <w:rFonts w:eastAsia="方正仿宋简体"/>
                <w:color w:val="000000"/>
                <w:kern w:val="0"/>
                <w:sz w:val="24"/>
                <w:szCs w:val="24"/>
              </w:rPr>
            </w:pPr>
            <w:r>
              <w:rPr>
                <w:rFonts w:eastAsia="方正仿宋简体" w:hint="eastAsia"/>
                <w:color w:val="000000"/>
                <w:kern w:val="0"/>
                <w:sz w:val="24"/>
                <w:szCs w:val="24"/>
              </w:rPr>
              <w:t>111</w:t>
            </w:r>
          </w:p>
        </w:tc>
        <w:tc>
          <w:tcPr>
            <w:tcW w:w="1344" w:type="dxa"/>
            <w:tcBorders>
              <w:top w:val="nil"/>
              <w:left w:val="nil"/>
              <w:bottom w:val="single" w:sz="4" w:space="0" w:color="auto"/>
              <w:right w:val="single" w:sz="4" w:space="0" w:color="auto"/>
            </w:tcBorders>
            <w:vAlign w:val="center"/>
          </w:tcPr>
          <w:p w:rsidR="0067132B" w:rsidRDefault="00946D1A">
            <w:pPr>
              <w:widowControl/>
              <w:spacing w:line="440" w:lineRule="exact"/>
              <w:jc w:val="center"/>
              <w:rPr>
                <w:rFonts w:eastAsia="方正仿宋简体"/>
                <w:color w:val="000000"/>
                <w:kern w:val="0"/>
                <w:sz w:val="24"/>
                <w:szCs w:val="24"/>
              </w:rPr>
            </w:pPr>
            <w:r>
              <w:rPr>
                <w:rFonts w:eastAsia="方正仿宋简体" w:hint="eastAsia"/>
                <w:color w:val="000000"/>
                <w:kern w:val="0"/>
                <w:sz w:val="24"/>
                <w:szCs w:val="24"/>
              </w:rPr>
              <w:t>170</w:t>
            </w:r>
          </w:p>
        </w:tc>
      </w:tr>
      <w:tr w:rsidR="0067132B">
        <w:trPr>
          <w:cantSplit/>
          <w:trHeight w:val="510"/>
          <w:jc w:val="center"/>
        </w:trPr>
        <w:tc>
          <w:tcPr>
            <w:tcW w:w="3795" w:type="dxa"/>
            <w:tcBorders>
              <w:top w:val="nil"/>
              <w:left w:val="single" w:sz="4" w:space="0" w:color="auto"/>
              <w:bottom w:val="single" w:sz="4" w:space="0" w:color="auto"/>
              <w:right w:val="single" w:sz="4" w:space="0" w:color="auto"/>
            </w:tcBorders>
            <w:vAlign w:val="center"/>
          </w:tcPr>
          <w:p w:rsidR="0067132B" w:rsidRDefault="00946D1A">
            <w:pPr>
              <w:widowControl/>
              <w:spacing w:line="440" w:lineRule="exact"/>
              <w:jc w:val="left"/>
              <w:rPr>
                <w:rFonts w:ascii="黑体" w:eastAsia="黑体" w:hAnsi="黑体"/>
                <w:color w:val="000000"/>
                <w:kern w:val="0"/>
                <w:sz w:val="24"/>
                <w:szCs w:val="24"/>
              </w:rPr>
            </w:pPr>
            <w:r>
              <w:rPr>
                <w:rFonts w:ascii="黑体" w:eastAsia="黑体" w:hAnsi="黑体" w:hint="eastAsia"/>
                <w:sz w:val="24"/>
              </w:rPr>
              <w:t>农资销售额</w:t>
            </w:r>
            <w:r>
              <w:rPr>
                <w:rFonts w:ascii="黑体" w:eastAsia="黑体" w:hAnsi="黑体" w:hint="eastAsia"/>
                <w:color w:val="000000"/>
                <w:kern w:val="0"/>
                <w:sz w:val="24"/>
              </w:rPr>
              <w:t>（亿元）</w:t>
            </w:r>
          </w:p>
        </w:tc>
        <w:tc>
          <w:tcPr>
            <w:tcW w:w="1674" w:type="dxa"/>
            <w:tcBorders>
              <w:top w:val="nil"/>
              <w:left w:val="nil"/>
              <w:bottom w:val="single" w:sz="4" w:space="0" w:color="auto"/>
              <w:right w:val="single" w:sz="4" w:space="0" w:color="auto"/>
            </w:tcBorders>
            <w:vAlign w:val="center"/>
          </w:tcPr>
          <w:p w:rsidR="0067132B" w:rsidRDefault="00946D1A">
            <w:pPr>
              <w:widowControl/>
              <w:spacing w:line="440" w:lineRule="exact"/>
              <w:jc w:val="center"/>
              <w:rPr>
                <w:rFonts w:eastAsia="方正仿宋简体"/>
                <w:color w:val="000000"/>
                <w:kern w:val="0"/>
                <w:sz w:val="24"/>
                <w:szCs w:val="24"/>
              </w:rPr>
            </w:pPr>
            <w:r>
              <w:rPr>
                <w:rFonts w:eastAsia="方正仿宋简体" w:hint="eastAsia"/>
                <w:color w:val="000000"/>
                <w:kern w:val="0"/>
                <w:sz w:val="24"/>
                <w:szCs w:val="24"/>
              </w:rPr>
              <w:t>25.9</w:t>
            </w:r>
          </w:p>
        </w:tc>
        <w:tc>
          <w:tcPr>
            <w:tcW w:w="1956" w:type="dxa"/>
            <w:tcBorders>
              <w:top w:val="nil"/>
              <w:left w:val="nil"/>
              <w:bottom w:val="single" w:sz="4" w:space="0" w:color="auto"/>
              <w:right w:val="single" w:sz="4" w:space="0" w:color="auto"/>
            </w:tcBorders>
            <w:vAlign w:val="center"/>
          </w:tcPr>
          <w:p w:rsidR="0067132B" w:rsidRDefault="00946D1A">
            <w:pPr>
              <w:widowControl/>
              <w:spacing w:line="440" w:lineRule="exact"/>
              <w:jc w:val="center"/>
              <w:rPr>
                <w:rFonts w:eastAsia="方正仿宋简体"/>
                <w:color w:val="000000"/>
                <w:kern w:val="0"/>
                <w:sz w:val="24"/>
                <w:szCs w:val="24"/>
              </w:rPr>
            </w:pPr>
            <w:r>
              <w:rPr>
                <w:rFonts w:eastAsia="方正仿宋简体" w:hint="eastAsia"/>
                <w:color w:val="000000"/>
                <w:kern w:val="0"/>
                <w:sz w:val="24"/>
                <w:szCs w:val="24"/>
              </w:rPr>
              <w:t>28.5</w:t>
            </w:r>
          </w:p>
        </w:tc>
        <w:tc>
          <w:tcPr>
            <w:tcW w:w="1344" w:type="dxa"/>
            <w:tcBorders>
              <w:top w:val="nil"/>
              <w:left w:val="nil"/>
              <w:bottom w:val="single" w:sz="4" w:space="0" w:color="auto"/>
              <w:right w:val="single" w:sz="4" w:space="0" w:color="auto"/>
            </w:tcBorders>
            <w:vAlign w:val="center"/>
          </w:tcPr>
          <w:p w:rsidR="0067132B" w:rsidRDefault="00946D1A">
            <w:pPr>
              <w:widowControl/>
              <w:spacing w:line="440" w:lineRule="exact"/>
              <w:jc w:val="center"/>
              <w:rPr>
                <w:rFonts w:eastAsia="方正仿宋简体"/>
                <w:color w:val="000000"/>
                <w:kern w:val="0"/>
                <w:sz w:val="24"/>
                <w:szCs w:val="24"/>
              </w:rPr>
            </w:pPr>
            <w:r>
              <w:rPr>
                <w:rFonts w:eastAsia="方正仿宋简体" w:hint="eastAsia"/>
                <w:color w:val="000000"/>
                <w:kern w:val="0"/>
                <w:sz w:val="24"/>
                <w:szCs w:val="24"/>
              </w:rPr>
              <w:t>50</w:t>
            </w:r>
          </w:p>
        </w:tc>
      </w:tr>
      <w:tr w:rsidR="0067132B">
        <w:trPr>
          <w:cantSplit/>
          <w:trHeight w:val="510"/>
          <w:jc w:val="center"/>
        </w:trPr>
        <w:tc>
          <w:tcPr>
            <w:tcW w:w="3795" w:type="dxa"/>
            <w:tcBorders>
              <w:top w:val="nil"/>
              <w:left w:val="single" w:sz="4" w:space="0" w:color="auto"/>
              <w:bottom w:val="single" w:sz="4" w:space="0" w:color="auto"/>
              <w:right w:val="single" w:sz="4" w:space="0" w:color="auto"/>
            </w:tcBorders>
            <w:vAlign w:val="center"/>
          </w:tcPr>
          <w:p w:rsidR="0067132B" w:rsidRDefault="00946D1A">
            <w:pPr>
              <w:widowControl/>
              <w:spacing w:line="440" w:lineRule="exact"/>
              <w:jc w:val="left"/>
              <w:rPr>
                <w:rFonts w:ascii="黑体" w:eastAsia="黑体" w:hAnsi="黑体"/>
                <w:color w:val="000000"/>
                <w:kern w:val="0"/>
                <w:sz w:val="24"/>
                <w:szCs w:val="24"/>
              </w:rPr>
            </w:pPr>
            <w:r>
              <w:rPr>
                <w:rFonts w:ascii="黑体" w:eastAsia="黑体" w:hAnsi="黑体" w:hint="eastAsia"/>
                <w:sz w:val="24"/>
              </w:rPr>
              <w:t>农产品销售额</w:t>
            </w:r>
            <w:r>
              <w:rPr>
                <w:rFonts w:ascii="黑体" w:eastAsia="黑体" w:hAnsi="黑体" w:hint="eastAsia"/>
                <w:color w:val="000000"/>
                <w:kern w:val="0"/>
                <w:sz w:val="24"/>
              </w:rPr>
              <w:t>（亿元）</w:t>
            </w:r>
          </w:p>
        </w:tc>
        <w:tc>
          <w:tcPr>
            <w:tcW w:w="1674" w:type="dxa"/>
            <w:tcBorders>
              <w:top w:val="nil"/>
              <w:left w:val="nil"/>
              <w:bottom w:val="single" w:sz="4" w:space="0" w:color="auto"/>
              <w:right w:val="single" w:sz="4" w:space="0" w:color="auto"/>
            </w:tcBorders>
            <w:vAlign w:val="center"/>
          </w:tcPr>
          <w:p w:rsidR="0067132B" w:rsidRDefault="00946D1A">
            <w:pPr>
              <w:widowControl/>
              <w:spacing w:line="440" w:lineRule="exact"/>
              <w:jc w:val="center"/>
              <w:rPr>
                <w:rFonts w:eastAsia="方正仿宋简体"/>
                <w:color w:val="000000"/>
                <w:kern w:val="0"/>
                <w:sz w:val="24"/>
                <w:szCs w:val="24"/>
              </w:rPr>
            </w:pPr>
            <w:r>
              <w:rPr>
                <w:rFonts w:eastAsia="方正仿宋简体" w:hint="eastAsia"/>
                <w:color w:val="000000"/>
                <w:kern w:val="0"/>
                <w:sz w:val="24"/>
                <w:szCs w:val="24"/>
              </w:rPr>
              <w:t>29.6</w:t>
            </w:r>
          </w:p>
        </w:tc>
        <w:tc>
          <w:tcPr>
            <w:tcW w:w="1956" w:type="dxa"/>
            <w:tcBorders>
              <w:top w:val="nil"/>
              <w:left w:val="nil"/>
              <w:bottom w:val="single" w:sz="4" w:space="0" w:color="auto"/>
              <w:right w:val="single" w:sz="4" w:space="0" w:color="auto"/>
            </w:tcBorders>
            <w:vAlign w:val="center"/>
          </w:tcPr>
          <w:p w:rsidR="0067132B" w:rsidRDefault="00946D1A">
            <w:pPr>
              <w:widowControl/>
              <w:spacing w:line="440" w:lineRule="exact"/>
              <w:jc w:val="center"/>
              <w:rPr>
                <w:rFonts w:eastAsia="方正仿宋简体"/>
                <w:color w:val="000000"/>
                <w:kern w:val="0"/>
                <w:sz w:val="24"/>
                <w:szCs w:val="24"/>
              </w:rPr>
            </w:pPr>
            <w:r>
              <w:rPr>
                <w:rFonts w:eastAsia="方正仿宋简体" w:hint="eastAsia"/>
                <w:color w:val="000000"/>
                <w:kern w:val="0"/>
                <w:sz w:val="24"/>
                <w:szCs w:val="24"/>
              </w:rPr>
              <w:t>32.5</w:t>
            </w:r>
          </w:p>
        </w:tc>
        <w:tc>
          <w:tcPr>
            <w:tcW w:w="1344" w:type="dxa"/>
            <w:tcBorders>
              <w:top w:val="nil"/>
              <w:left w:val="nil"/>
              <w:bottom w:val="single" w:sz="4" w:space="0" w:color="auto"/>
              <w:right w:val="single" w:sz="4" w:space="0" w:color="auto"/>
            </w:tcBorders>
            <w:vAlign w:val="center"/>
          </w:tcPr>
          <w:p w:rsidR="0067132B" w:rsidRDefault="00946D1A">
            <w:pPr>
              <w:widowControl/>
              <w:spacing w:line="440" w:lineRule="exact"/>
              <w:jc w:val="center"/>
              <w:rPr>
                <w:rFonts w:eastAsia="方正仿宋简体"/>
                <w:color w:val="000000"/>
                <w:kern w:val="0"/>
                <w:sz w:val="24"/>
                <w:szCs w:val="24"/>
              </w:rPr>
            </w:pPr>
            <w:r>
              <w:rPr>
                <w:rFonts w:eastAsia="方正仿宋简体" w:hint="eastAsia"/>
                <w:color w:val="000000"/>
                <w:kern w:val="0"/>
                <w:sz w:val="24"/>
                <w:szCs w:val="24"/>
              </w:rPr>
              <w:t>55</w:t>
            </w:r>
          </w:p>
        </w:tc>
      </w:tr>
      <w:tr w:rsidR="0067132B">
        <w:trPr>
          <w:cantSplit/>
          <w:trHeight w:val="510"/>
          <w:jc w:val="center"/>
        </w:trPr>
        <w:tc>
          <w:tcPr>
            <w:tcW w:w="3795" w:type="dxa"/>
            <w:tcBorders>
              <w:top w:val="nil"/>
              <w:left w:val="single" w:sz="4" w:space="0" w:color="auto"/>
              <w:bottom w:val="single" w:sz="4" w:space="0" w:color="auto"/>
              <w:right w:val="single" w:sz="4" w:space="0" w:color="auto"/>
            </w:tcBorders>
            <w:vAlign w:val="center"/>
          </w:tcPr>
          <w:p w:rsidR="0067132B" w:rsidRDefault="00946D1A">
            <w:pPr>
              <w:widowControl/>
              <w:spacing w:line="440" w:lineRule="exact"/>
              <w:jc w:val="left"/>
              <w:rPr>
                <w:rFonts w:ascii="黑体" w:eastAsia="黑体" w:hAnsi="黑体"/>
                <w:color w:val="000000"/>
                <w:kern w:val="0"/>
                <w:sz w:val="24"/>
                <w:szCs w:val="24"/>
              </w:rPr>
            </w:pPr>
            <w:r>
              <w:rPr>
                <w:rFonts w:ascii="黑体" w:eastAsia="黑体" w:hAnsi="黑体" w:hint="eastAsia"/>
                <w:sz w:val="24"/>
              </w:rPr>
              <w:t>消费品零售额</w:t>
            </w:r>
            <w:r>
              <w:rPr>
                <w:rFonts w:ascii="黑体" w:eastAsia="黑体" w:hAnsi="黑体" w:hint="eastAsia"/>
                <w:color w:val="000000"/>
                <w:kern w:val="0"/>
                <w:sz w:val="24"/>
              </w:rPr>
              <w:t>（亿元）</w:t>
            </w:r>
          </w:p>
        </w:tc>
        <w:tc>
          <w:tcPr>
            <w:tcW w:w="1674" w:type="dxa"/>
            <w:tcBorders>
              <w:top w:val="nil"/>
              <w:left w:val="nil"/>
              <w:bottom w:val="single" w:sz="4" w:space="0" w:color="auto"/>
              <w:right w:val="single" w:sz="4" w:space="0" w:color="auto"/>
            </w:tcBorders>
            <w:vAlign w:val="center"/>
          </w:tcPr>
          <w:p w:rsidR="0067132B" w:rsidRDefault="00946D1A">
            <w:pPr>
              <w:widowControl/>
              <w:spacing w:line="440" w:lineRule="exact"/>
              <w:jc w:val="center"/>
              <w:rPr>
                <w:rFonts w:eastAsia="方正仿宋简体"/>
                <w:color w:val="000000"/>
                <w:kern w:val="0"/>
                <w:sz w:val="24"/>
                <w:szCs w:val="24"/>
              </w:rPr>
            </w:pPr>
            <w:r>
              <w:rPr>
                <w:rFonts w:eastAsia="方正仿宋简体" w:hint="eastAsia"/>
                <w:color w:val="000000"/>
                <w:kern w:val="0"/>
                <w:sz w:val="24"/>
                <w:szCs w:val="24"/>
              </w:rPr>
              <w:t>45.4</w:t>
            </w:r>
          </w:p>
        </w:tc>
        <w:tc>
          <w:tcPr>
            <w:tcW w:w="1956" w:type="dxa"/>
            <w:tcBorders>
              <w:top w:val="nil"/>
              <w:left w:val="nil"/>
              <w:bottom w:val="single" w:sz="4" w:space="0" w:color="auto"/>
              <w:right w:val="single" w:sz="4" w:space="0" w:color="auto"/>
            </w:tcBorders>
            <w:vAlign w:val="center"/>
          </w:tcPr>
          <w:p w:rsidR="0067132B" w:rsidRDefault="00946D1A">
            <w:pPr>
              <w:widowControl/>
              <w:spacing w:line="440" w:lineRule="exact"/>
              <w:jc w:val="center"/>
              <w:rPr>
                <w:rFonts w:eastAsia="方正仿宋简体"/>
                <w:color w:val="000000"/>
                <w:kern w:val="0"/>
                <w:sz w:val="24"/>
                <w:szCs w:val="24"/>
              </w:rPr>
            </w:pPr>
            <w:r>
              <w:rPr>
                <w:rFonts w:eastAsia="方正仿宋简体" w:hint="eastAsia"/>
                <w:color w:val="000000"/>
                <w:kern w:val="0"/>
                <w:sz w:val="24"/>
                <w:szCs w:val="24"/>
              </w:rPr>
              <w:t>50</w:t>
            </w:r>
          </w:p>
        </w:tc>
        <w:tc>
          <w:tcPr>
            <w:tcW w:w="1344" w:type="dxa"/>
            <w:tcBorders>
              <w:top w:val="nil"/>
              <w:left w:val="nil"/>
              <w:bottom w:val="single" w:sz="4" w:space="0" w:color="auto"/>
              <w:right w:val="single" w:sz="4" w:space="0" w:color="auto"/>
            </w:tcBorders>
            <w:vAlign w:val="center"/>
          </w:tcPr>
          <w:p w:rsidR="0067132B" w:rsidRDefault="00946D1A">
            <w:pPr>
              <w:widowControl/>
              <w:spacing w:line="440" w:lineRule="exact"/>
              <w:jc w:val="center"/>
              <w:rPr>
                <w:rFonts w:eastAsia="方正仿宋简体"/>
                <w:color w:val="000000"/>
                <w:kern w:val="0"/>
                <w:sz w:val="24"/>
                <w:szCs w:val="24"/>
              </w:rPr>
            </w:pPr>
            <w:r>
              <w:rPr>
                <w:rFonts w:eastAsia="方正仿宋简体" w:hint="eastAsia"/>
                <w:color w:val="000000"/>
                <w:kern w:val="0"/>
                <w:sz w:val="24"/>
                <w:szCs w:val="24"/>
              </w:rPr>
              <w:t>80</w:t>
            </w:r>
          </w:p>
        </w:tc>
      </w:tr>
      <w:tr w:rsidR="0067132B">
        <w:trPr>
          <w:cantSplit/>
          <w:trHeight w:val="510"/>
          <w:jc w:val="center"/>
        </w:trPr>
        <w:tc>
          <w:tcPr>
            <w:tcW w:w="3795" w:type="dxa"/>
            <w:tcBorders>
              <w:top w:val="nil"/>
              <w:left w:val="single" w:sz="4" w:space="0" w:color="auto"/>
              <w:bottom w:val="single" w:sz="4" w:space="0" w:color="auto"/>
              <w:right w:val="single" w:sz="4" w:space="0" w:color="auto"/>
            </w:tcBorders>
            <w:vAlign w:val="center"/>
          </w:tcPr>
          <w:p w:rsidR="0067132B" w:rsidRDefault="00946D1A">
            <w:pPr>
              <w:widowControl/>
              <w:spacing w:line="440" w:lineRule="exact"/>
              <w:jc w:val="left"/>
              <w:rPr>
                <w:rFonts w:ascii="黑体" w:eastAsia="黑体" w:hAnsi="黑体"/>
                <w:color w:val="000000"/>
                <w:kern w:val="0"/>
                <w:sz w:val="24"/>
                <w:szCs w:val="24"/>
              </w:rPr>
            </w:pPr>
            <w:r>
              <w:rPr>
                <w:rFonts w:ascii="黑体" w:eastAsia="黑体" w:hAnsi="黑体" w:hint="eastAsia"/>
                <w:sz w:val="24"/>
              </w:rPr>
              <w:t>再生资源销售额</w:t>
            </w:r>
            <w:r>
              <w:rPr>
                <w:rFonts w:ascii="黑体" w:eastAsia="黑体" w:hAnsi="黑体" w:hint="eastAsia"/>
                <w:color w:val="000000"/>
                <w:kern w:val="0"/>
                <w:sz w:val="24"/>
              </w:rPr>
              <w:t>（亿元）</w:t>
            </w:r>
          </w:p>
        </w:tc>
        <w:tc>
          <w:tcPr>
            <w:tcW w:w="1674" w:type="dxa"/>
            <w:tcBorders>
              <w:top w:val="nil"/>
              <w:left w:val="nil"/>
              <w:bottom w:val="single" w:sz="4" w:space="0" w:color="auto"/>
              <w:right w:val="single" w:sz="4" w:space="0" w:color="auto"/>
            </w:tcBorders>
            <w:vAlign w:val="center"/>
          </w:tcPr>
          <w:p w:rsidR="0067132B" w:rsidRDefault="00946D1A">
            <w:pPr>
              <w:widowControl/>
              <w:spacing w:line="440" w:lineRule="exact"/>
              <w:jc w:val="center"/>
              <w:rPr>
                <w:rFonts w:eastAsia="方正仿宋简体"/>
                <w:color w:val="000000"/>
                <w:kern w:val="0"/>
                <w:sz w:val="24"/>
                <w:szCs w:val="24"/>
              </w:rPr>
            </w:pPr>
            <w:r>
              <w:rPr>
                <w:rFonts w:eastAsia="方正仿宋简体" w:hint="eastAsia"/>
                <w:color w:val="000000"/>
                <w:kern w:val="0"/>
                <w:sz w:val="24"/>
                <w:szCs w:val="24"/>
              </w:rPr>
              <w:t>0.3</w:t>
            </w:r>
          </w:p>
        </w:tc>
        <w:tc>
          <w:tcPr>
            <w:tcW w:w="1956" w:type="dxa"/>
            <w:tcBorders>
              <w:top w:val="nil"/>
              <w:left w:val="nil"/>
              <w:bottom w:val="single" w:sz="4" w:space="0" w:color="auto"/>
              <w:right w:val="single" w:sz="4" w:space="0" w:color="auto"/>
            </w:tcBorders>
            <w:vAlign w:val="center"/>
          </w:tcPr>
          <w:p w:rsidR="0067132B" w:rsidRDefault="00946D1A">
            <w:pPr>
              <w:widowControl/>
              <w:spacing w:line="440" w:lineRule="exact"/>
              <w:jc w:val="center"/>
              <w:rPr>
                <w:rFonts w:eastAsia="方正仿宋简体"/>
                <w:color w:val="000000"/>
                <w:kern w:val="0"/>
                <w:sz w:val="24"/>
                <w:szCs w:val="24"/>
              </w:rPr>
            </w:pPr>
            <w:r>
              <w:rPr>
                <w:rFonts w:eastAsia="方正仿宋简体" w:hint="eastAsia"/>
                <w:color w:val="000000"/>
                <w:kern w:val="0"/>
                <w:sz w:val="24"/>
                <w:szCs w:val="24"/>
              </w:rPr>
              <w:t>1.0</w:t>
            </w:r>
          </w:p>
        </w:tc>
        <w:tc>
          <w:tcPr>
            <w:tcW w:w="1344" w:type="dxa"/>
            <w:tcBorders>
              <w:top w:val="nil"/>
              <w:left w:val="nil"/>
              <w:bottom w:val="single" w:sz="4" w:space="0" w:color="auto"/>
              <w:right w:val="single" w:sz="4" w:space="0" w:color="auto"/>
            </w:tcBorders>
            <w:vAlign w:val="center"/>
          </w:tcPr>
          <w:p w:rsidR="0067132B" w:rsidRDefault="00946D1A">
            <w:pPr>
              <w:widowControl/>
              <w:spacing w:line="440" w:lineRule="exact"/>
              <w:jc w:val="center"/>
              <w:rPr>
                <w:rFonts w:eastAsia="方正仿宋简体"/>
                <w:color w:val="000000"/>
                <w:kern w:val="0"/>
                <w:sz w:val="24"/>
                <w:szCs w:val="24"/>
              </w:rPr>
            </w:pPr>
            <w:r>
              <w:rPr>
                <w:rFonts w:eastAsia="方正仿宋简体" w:hint="eastAsia"/>
                <w:color w:val="000000"/>
                <w:kern w:val="0"/>
                <w:sz w:val="24"/>
                <w:szCs w:val="24"/>
              </w:rPr>
              <w:t>4.0</w:t>
            </w:r>
          </w:p>
        </w:tc>
      </w:tr>
      <w:tr w:rsidR="0067132B">
        <w:trPr>
          <w:cantSplit/>
          <w:trHeight w:val="510"/>
          <w:jc w:val="center"/>
        </w:trPr>
        <w:tc>
          <w:tcPr>
            <w:tcW w:w="3795" w:type="dxa"/>
            <w:tcBorders>
              <w:top w:val="nil"/>
              <w:left w:val="single" w:sz="4" w:space="0" w:color="auto"/>
              <w:bottom w:val="single" w:sz="4" w:space="0" w:color="auto"/>
              <w:right w:val="single" w:sz="4" w:space="0" w:color="auto"/>
            </w:tcBorders>
            <w:vAlign w:val="center"/>
          </w:tcPr>
          <w:p w:rsidR="0067132B" w:rsidRDefault="00946D1A">
            <w:pPr>
              <w:widowControl/>
              <w:spacing w:line="440" w:lineRule="exact"/>
              <w:jc w:val="left"/>
              <w:rPr>
                <w:rFonts w:ascii="黑体" w:eastAsia="黑体" w:hAnsi="黑体"/>
                <w:color w:val="000000"/>
                <w:kern w:val="0"/>
                <w:sz w:val="24"/>
                <w:szCs w:val="24"/>
              </w:rPr>
            </w:pPr>
            <w:r>
              <w:rPr>
                <w:rFonts w:ascii="黑体" w:eastAsia="黑体" w:hAnsi="黑体" w:hint="eastAsia"/>
                <w:sz w:val="24"/>
              </w:rPr>
              <w:t>电子商务销售额</w:t>
            </w:r>
            <w:r>
              <w:rPr>
                <w:rFonts w:ascii="黑体" w:eastAsia="黑体" w:hAnsi="黑体" w:hint="eastAsia"/>
                <w:color w:val="000000"/>
                <w:kern w:val="0"/>
                <w:sz w:val="24"/>
              </w:rPr>
              <w:t>（亿元）</w:t>
            </w:r>
          </w:p>
        </w:tc>
        <w:tc>
          <w:tcPr>
            <w:tcW w:w="1674" w:type="dxa"/>
            <w:tcBorders>
              <w:top w:val="nil"/>
              <w:left w:val="nil"/>
              <w:bottom w:val="single" w:sz="4" w:space="0" w:color="auto"/>
              <w:right w:val="single" w:sz="4" w:space="0" w:color="auto"/>
            </w:tcBorders>
            <w:vAlign w:val="center"/>
          </w:tcPr>
          <w:p w:rsidR="0067132B" w:rsidRDefault="00946D1A">
            <w:pPr>
              <w:widowControl/>
              <w:spacing w:line="440" w:lineRule="exact"/>
              <w:jc w:val="center"/>
              <w:rPr>
                <w:rFonts w:eastAsia="方正仿宋简体"/>
                <w:color w:val="000000"/>
                <w:kern w:val="0"/>
                <w:sz w:val="24"/>
                <w:szCs w:val="24"/>
              </w:rPr>
            </w:pPr>
            <w:r>
              <w:rPr>
                <w:rFonts w:eastAsia="方正仿宋简体" w:hint="eastAsia"/>
                <w:color w:val="000000"/>
                <w:kern w:val="0"/>
                <w:sz w:val="24"/>
                <w:szCs w:val="24"/>
              </w:rPr>
              <w:t>2.1</w:t>
            </w:r>
          </w:p>
        </w:tc>
        <w:tc>
          <w:tcPr>
            <w:tcW w:w="1956" w:type="dxa"/>
            <w:tcBorders>
              <w:top w:val="nil"/>
              <w:left w:val="nil"/>
              <w:bottom w:val="single" w:sz="4" w:space="0" w:color="auto"/>
              <w:right w:val="single" w:sz="4" w:space="0" w:color="auto"/>
            </w:tcBorders>
            <w:vAlign w:val="center"/>
          </w:tcPr>
          <w:p w:rsidR="0067132B" w:rsidRDefault="00946D1A">
            <w:pPr>
              <w:widowControl/>
              <w:spacing w:line="440" w:lineRule="exact"/>
              <w:jc w:val="center"/>
              <w:rPr>
                <w:rFonts w:eastAsia="方正仿宋简体"/>
                <w:color w:val="000000"/>
                <w:kern w:val="0"/>
                <w:sz w:val="24"/>
                <w:szCs w:val="24"/>
              </w:rPr>
            </w:pPr>
            <w:r>
              <w:rPr>
                <w:rFonts w:eastAsia="方正仿宋简体" w:hint="eastAsia"/>
                <w:color w:val="000000"/>
                <w:kern w:val="0"/>
                <w:sz w:val="24"/>
                <w:szCs w:val="24"/>
              </w:rPr>
              <w:t>2.5</w:t>
            </w:r>
          </w:p>
        </w:tc>
        <w:tc>
          <w:tcPr>
            <w:tcW w:w="1344" w:type="dxa"/>
            <w:tcBorders>
              <w:top w:val="nil"/>
              <w:left w:val="nil"/>
              <w:bottom w:val="single" w:sz="4" w:space="0" w:color="auto"/>
              <w:right w:val="single" w:sz="4" w:space="0" w:color="auto"/>
            </w:tcBorders>
            <w:vAlign w:val="center"/>
          </w:tcPr>
          <w:p w:rsidR="0067132B" w:rsidRDefault="00946D1A">
            <w:pPr>
              <w:widowControl/>
              <w:spacing w:line="440" w:lineRule="exact"/>
              <w:jc w:val="center"/>
              <w:rPr>
                <w:rFonts w:eastAsia="方正仿宋简体"/>
                <w:color w:val="000000"/>
                <w:kern w:val="0"/>
                <w:sz w:val="24"/>
                <w:szCs w:val="24"/>
              </w:rPr>
            </w:pPr>
            <w:r>
              <w:rPr>
                <w:rFonts w:eastAsia="方正仿宋简体" w:hint="eastAsia"/>
                <w:color w:val="000000"/>
                <w:kern w:val="0"/>
                <w:sz w:val="24"/>
                <w:szCs w:val="24"/>
              </w:rPr>
              <w:t>5.0</w:t>
            </w:r>
          </w:p>
        </w:tc>
      </w:tr>
      <w:tr w:rsidR="0067132B">
        <w:trPr>
          <w:cantSplit/>
          <w:trHeight w:val="510"/>
          <w:jc w:val="center"/>
        </w:trPr>
        <w:tc>
          <w:tcPr>
            <w:tcW w:w="3795" w:type="dxa"/>
            <w:tcBorders>
              <w:top w:val="nil"/>
              <w:left w:val="single" w:sz="4" w:space="0" w:color="auto"/>
              <w:bottom w:val="single" w:sz="4" w:space="0" w:color="auto"/>
              <w:right w:val="single" w:sz="4" w:space="0" w:color="auto"/>
            </w:tcBorders>
            <w:vAlign w:val="center"/>
          </w:tcPr>
          <w:p w:rsidR="0067132B" w:rsidRDefault="00946D1A">
            <w:pPr>
              <w:widowControl/>
              <w:spacing w:line="440" w:lineRule="exact"/>
              <w:jc w:val="left"/>
              <w:rPr>
                <w:rFonts w:ascii="黑体" w:eastAsia="黑体" w:hAnsi="黑体"/>
                <w:color w:val="000000"/>
                <w:kern w:val="0"/>
                <w:sz w:val="24"/>
                <w:szCs w:val="24"/>
              </w:rPr>
            </w:pPr>
            <w:r>
              <w:rPr>
                <w:rFonts w:ascii="黑体" w:eastAsia="黑体" w:hAnsi="黑体" w:hint="eastAsia"/>
                <w:sz w:val="24"/>
              </w:rPr>
              <w:t>农资电子商务销售额</w:t>
            </w:r>
            <w:r>
              <w:rPr>
                <w:rFonts w:ascii="黑体" w:eastAsia="黑体" w:hAnsi="黑体" w:hint="eastAsia"/>
                <w:color w:val="000000"/>
                <w:kern w:val="0"/>
                <w:sz w:val="24"/>
              </w:rPr>
              <w:t>（亿元）</w:t>
            </w:r>
          </w:p>
        </w:tc>
        <w:tc>
          <w:tcPr>
            <w:tcW w:w="1674" w:type="dxa"/>
            <w:tcBorders>
              <w:top w:val="nil"/>
              <w:left w:val="nil"/>
              <w:bottom w:val="single" w:sz="4" w:space="0" w:color="auto"/>
              <w:right w:val="single" w:sz="4" w:space="0" w:color="auto"/>
            </w:tcBorders>
            <w:vAlign w:val="center"/>
          </w:tcPr>
          <w:p w:rsidR="0067132B" w:rsidRDefault="00946D1A">
            <w:pPr>
              <w:widowControl/>
              <w:spacing w:line="440" w:lineRule="exact"/>
              <w:jc w:val="center"/>
              <w:rPr>
                <w:rFonts w:eastAsia="方正仿宋简体"/>
                <w:color w:val="000000"/>
                <w:kern w:val="0"/>
                <w:sz w:val="24"/>
                <w:szCs w:val="24"/>
              </w:rPr>
            </w:pPr>
            <w:r>
              <w:rPr>
                <w:rFonts w:eastAsia="方正仿宋简体" w:hint="eastAsia"/>
                <w:color w:val="000000"/>
                <w:kern w:val="0"/>
                <w:sz w:val="24"/>
                <w:szCs w:val="24"/>
              </w:rPr>
              <w:t>0</w:t>
            </w:r>
          </w:p>
        </w:tc>
        <w:tc>
          <w:tcPr>
            <w:tcW w:w="1956" w:type="dxa"/>
            <w:tcBorders>
              <w:top w:val="nil"/>
              <w:left w:val="nil"/>
              <w:bottom w:val="single" w:sz="4" w:space="0" w:color="auto"/>
              <w:right w:val="single" w:sz="4" w:space="0" w:color="auto"/>
            </w:tcBorders>
            <w:vAlign w:val="center"/>
          </w:tcPr>
          <w:p w:rsidR="0067132B" w:rsidRDefault="00946D1A">
            <w:pPr>
              <w:widowControl/>
              <w:spacing w:line="440" w:lineRule="exact"/>
              <w:jc w:val="center"/>
              <w:rPr>
                <w:rFonts w:eastAsia="方正仿宋简体"/>
                <w:color w:val="000000"/>
                <w:kern w:val="0"/>
                <w:sz w:val="24"/>
                <w:szCs w:val="24"/>
              </w:rPr>
            </w:pPr>
            <w:r>
              <w:rPr>
                <w:rFonts w:eastAsia="方正仿宋简体" w:hint="eastAsia"/>
                <w:color w:val="000000"/>
                <w:kern w:val="0"/>
                <w:sz w:val="24"/>
                <w:szCs w:val="24"/>
              </w:rPr>
              <w:t>0.5</w:t>
            </w:r>
          </w:p>
        </w:tc>
        <w:tc>
          <w:tcPr>
            <w:tcW w:w="1344" w:type="dxa"/>
            <w:tcBorders>
              <w:top w:val="nil"/>
              <w:left w:val="nil"/>
              <w:bottom w:val="single" w:sz="4" w:space="0" w:color="auto"/>
              <w:right w:val="single" w:sz="4" w:space="0" w:color="auto"/>
            </w:tcBorders>
            <w:vAlign w:val="center"/>
          </w:tcPr>
          <w:p w:rsidR="0067132B" w:rsidRDefault="00946D1A">
            <w:pPr>
              <w:widowControl/>
              <w:spacing w:line="440" w:lineRule="exact"/>
              <w:jc w:val="center"/>
              <w:rPr>
                <w:rFonts w:eastAsia="方正仿宋简体"/>
                <w:color w:val="000000"/>
                <w:kern w:val="0"/>
                <w:sz w:val="24"/>
                <w:szCs w:val="24"/>
              </w:rPr>
            </w:pPr>
            <w:r>
              <w:rPr>
                <w:rFonts w:eastAsia="方正仿宋简体" w:hint="eastAsia"/>
                <w:color w:val="000000"/>
                <w:kern w:val="0"/>
                <w:sz w:val="24"/>
                <w:szCs w:val="24"/>
              </w:rPr>
              <w:t>3.0</w:t>
            </w:r>
          </w:p>
        </w:tc>
      </w:tr>
      <w:tr w:rsidR="0067132B">
        <w:trPr>
          <w:cantSplit/>
          <w:trHeight w:val="510"/>
          <w:jc w:val="center"/>
        </w:trPr>
        <w:tc>
          <w:tcPr>
            <w:tcW w:w="3795" w:type="dxa"/>
            <w:tcBorders>
              <w:top w:val="nil"/>
              <w:left w:val="single" w:sz="4" w:space="0" w:color="auto"/>
              <w:bottom w:val="single" w:sz="4" w:space="0" w:color="auto"/>
              <w:right w:val="single" w:sz="4" w:space="0" w:color="auto"/>
            </w:tcBorders>
            <w:vAlign w:val="center"/>
          </w:tcPr>
          <w:p w:rsidR="0067132B" w:rsidRDefault="00946D1A">
            <w:pPr>
              <w:widowControl/>
              <w:spacing w:line="440" w:lineRule="exact"/>
              <w:jc w:val="left"/>
              <w:rPr>
                <w:rFonts w:ascii="黑体" w:eastAsia="黑体" w:hAnsi="黑体"/>
                <w:sz w:val="24"/>
                <w:szCs w:val="24"/>
              </w:rPr>
            </w:pPr>
            <w:r>
              <w:rPr>
                <w:rFonts w:ascii="黑体" w:eastAsia="黑体" w:hAnsi="黑体" w:hint="eastAsia"/>
                <w:sz w:val="24"/>
              </w:rPr>
              <w:t>农产品电子商务销售额（亿元）</w:t>
            </w:r>
          </w:p>
        </w:tc>
        <w:tc>
          <w:tcPr>
            <w:tcW w:w="1674" w:type="dxa"/>
            <w:tcBorders>
              <w:top w:val="nil"/>
              <w:left w:val="nil"/>
              <w:bottom w:val="single" w:sz="4" w:space="0" w:color="auto"/>
              <w:right w:val="single" w:sz="4" w:space="0" w:color="auto"/>
            </w:tcBorders>
            <w:vAlign w:val="center"/>
          </w:tcPr>
          <w:p w:rsidR="0067132B" w:rsidRDefault="00946D1A">
            <w:pPr>
              <w:widowControl/>
              <w:spacing w:line="440" w:lineRule="exact"/>
              <w:jc w:val="center"/>
              <w:rPr>
                <w:rFonts w:eastAsia="方正仿宋简体"/>
                <w:color w:val="000000"/>
                <w:kern w:val="0"/>
                <w:sz w:val="24"/>
                <w:szCs w:val="24"/>
              </w:rPr>
            </w:pPr>
            <w:r>
              <w:rPr>
                <w:rFonts w:eastAsia="方正仿宋简体" w:hint="eastAsia"/>
                <w:color w:val="000000"/>
                <w:kern w:val="0"/>
                <w:sz w:val="24"/>
                <w:szCs w:val="24"/>
              </w:rPr>
              <w:t>1.3</w:t>
            </w:r>
          </w:p>
        </w:tc>
        <w:tc>
          <w:tcPr>
            <w:tcW w:w="1956" w:type="dxa"/>
            <w:tcBorders>
              <w:top w:val="nil"/>
              <w:left w:val="nil"/>
              <w:bottom w:val="single" w:sz="4" w:space="0" w:color="auto"/>
              <w:right w:val="single" w:sz="4" w:space="0" w:color="auto"/>
            </w:tcBorders>
            <w:vAlign w:val="center"/>
          </w:tcPr>
          <w:p w:rsidR="0067132B" w:rsidRDefault="00946D1A">
            <w:pPr>
              <w:widowControl/>
              <w:spacing w:line="440" w:lineRule="exact"/>
              <w:jc w:val="center"/>
              <w:rPr>
                <w:rFonts w:eastAsia="方正仿宋简体"/>
                <w:color w:val="000000"/>
                <w:kern w:val="0"/>
                <w:sz w:val="24"/>
                <w:szCs w:val="24"/>
              </w:rPr>
            </w:pPr>
            <w:r>
              <w:rPr>
                <w:rFonts w:eastAsia="方正仿宋简体" w:hint="eastAsia"/>
                <w:color w:val="000000"/>
                <w:kern w:val="0"/>
                <w:sz w:val="24"/>
                <w:szCs w:val="24"/>
              </w:rPr>
              <w:t>1.5</w:t>
            </w:r>
          </w:p>
        </w:tc>
        <w:tc>
          <w:tcPr>
            <w:tcW w:w="1344" w:type="dxa"/>
            <w:tcBorders>
              <w:top w:val="nil"/>
              <w:left w:val="nil"/>
              <w:bottom w:val="single" w:sz="4" w:space="0" w:color="auto"/>
              <w:right w:val="single" w:sz="4" w:space="0" w:color="auto"/>
            </w:tcBorders>
            <w:vAlign w:val="center"/>
          </w:tcPr>
          <w:p w:rsidR="0067132B" w:rsidRDefault="00946D1A">
            <w:pPr>
              <w:widowControl/>
              <w:spacing w:line="440" w:lineRule="exact"/>
              <w:jc w:val="center"/>
              <w:rPr>
                <w:rFonts w:eastAsia="方正仿宋简体"/>
                <w:color w:val="000000"/>
                <w:kern w:val="0"/>
                <w:sz w:val="24"/>
                <w:szCs w:val="24"/>
              </w:rPr>
            </w:pPr>
            <w:r>
              <w:rPr>
                <w:rFonts w:eastAsia="方正仿宋简体" w:hint="eastAsia"/>
                <w:color w:val="000000"/>
                <w:kern w:val="0"/>
                <w:sz w:val="24"/>
                <w:szCs w:val="24"/>
              </w:rPr>
              <w:t>4.0</w:t>
            </w:r>
          </w:p>
        </w:tc>
      </w:tr>
      <w:tr w:rsidR="0067132B">
        <w:trPr>
          <w:cantSplit/>
          <w:trHeight w:val="510"/>
          <w:jc w:val="center"/>
        </w:trPr>
        <w:tc>
          <w:tcPr>
            <w:tcW w:w="3795" w:type="dxa"/>
            <w:tcBorders>
              <w:top w:val="nil"/>
              <w:left w:val="single" w:sz="4" w:space="0" w:color="auto"/>
              <w:bottom w:val="single" w:sz="4" w:space="0" w:color="auto"/>
              <w:right w:val="single" w:sz="4" w:space="0" w:color="auto"/>
            </w:tcBorders>
            <w:vAlign w:val="center"/>
          </w:tcPr>
          <w:p w:rsidR="0067132B" w:rsidRDefault="00946D1A">
            <w:pPr>
              <w:widowControl/>
              <w:spacing w:line="440" w:lineRule="exact"/>
              <w:jc w:val="left"/>
              <w:rPr>
                <w:rFonts w:ascii="黑体" w:eastAsia="黑体" w:hAnsi="黑体"/>
                <w:sz w:val="24"/>
                <w:szCs w:val="24"/>
              </w:rPr>
            </w:pPr>
            <w:r>
              <w:rPr>
                <w:rFonts w:ascii="黑体" w:eastAsia="黑体" w:hAnsi="黑体" w:hint="eastAsia"/>
                <w:sz w:val="24"/>
              </w:rPr>
              <w:t>消费品电子商务零售额（亿元）</w:t>
            </w:r>
          </w:p>
        </w:tc>
        <w:tc>
          <w:tcPr>
            <w:tcW w:w="1674" w:type="dxa"/>
            <w:tcBorders>
              <w:top w:val="nil"/>
              <w:left w:val="nil"/>
              <w:bottom w:val="single" w:sz="4" w:space="0" w:color="auto"/>
              <w:right w:val="single" w:sz="4" w:space="0" w:color="auto"/>
            </w:tcBorders>
            <w:vAlign w:val="center"/>
          </w:tcPr>
          <w:p w:rsidR="0067132B" w:rsidRDefault="00946D1A">
            <w:pPr>
              <w:widowControl/>
              <w:spacing w:line="440" w:lineRule="exact"/>
              <w:jc w:val="center"/>
              <w:rPr>
                <w:rFonts w:eastAsia="方正仿宋简体"/>
                <w:color w:val="000000"/>
                <w:kern w:val="0"/>
                <w:sz w:val="24"/>
                <w:szCs w:val="24"/>
              </w:rPr>
            </w:pPr>
            <w:r>
              <w:rPr>
                <w:rFonts w:eastAsia="方正仿宋简体" w:hint="eastAsia"/>
                <w:color w:val="000000"/>
                <w:kern w:val="0"/>
                <w:sz w:val="24"/>
                <w:szCs w:val="24"/>
              </w:rPr>
              <w:t>0</w:t>
            </w:r>
          </w:p>
        </w:tc>
        <w:tc>
          <w:tcPr>
            <w:tcW w:w="1956" w:type="dxa"/>
            <w:tcBorders>
              <w:top w:val="nil"/>
              <w:left w:val="nil"/>
              <w:bottom w:val="single" w:sz="4" w:space="0" w:color="auto"/>
              <w:right w:val="single" w:sz="4" w:space="0" w:color="auto"/>
            </w:tcBorders>
            <w:vAlign w:val="center"/>
          </w:tcPr>
          <w:p w:rsidR="0067132B" w:rsidRDefault="00946D1A">
            <w:pPr>
              <w:widowControl/>
              <w:spacing w:line="440" w:lineRule="exact"/>
              <w:jc w:val="center"/>
              <w:rPr>
                <w:rFonts w:eastAsia="方正仿宋简体"/>
                <w:color w:val="000000"/>
                <w:kern w:val="0"/>
                <w:sz w:val="24"/>
                <w:szCs w:val="24"/>
              </w:rPr>
            </w:pPr>
            <w:r>
              <w:rPr>
                <w:rFonts w:eastAsia="方正仿宋简体" w:hint="eastAsia"/>
                <w:color w:val="000000"/>
                <w:kern w:val="0"/>
                <w:sz w:val="24"/>
                <w:szCs w:val="24"/>
              </w:rPr>
              <w:t>1.0</w:t>
            </w:r>
          </w:p>
        </w:tc>
        <w:tc>
          <w:tcPr>
            <w:tcW w:w="1344" w:type="dxa"/>
            <w:tcBorders>
              <w:top w:val="nil"/>
              <w:left w:val="nil"/>
              <w:bottom w:val="single" w:sz="4" w:space="0" w:color="auto"/>
              <w:right w:val="single" w:sz="4" w:space="0" w:color="auto"/>
            </w:tcBorders>
            <w:vAlign w:val="center"/>
          </w:tcPr>
          <w:p w:rsidR="0067132B" w:rsidRDefault="00946D1A">
            <w:pPr>
              <w:widowControl/>
              <w:spacing w:line="440" w:lineRule="exact"/>
              <w:jc w:val="center"/>
              <w:rPr>
                <w:rFonts w:eastAsia="方正仿宋简体"/>
                <w:color w:val="000000"/>
                <w:kern w:val="0"/>
                <w:sz w:val="24"/>
                <w:szCs w:val="24"/>
              </w:rPr>
            </w:pPr>
            <w:r>
              <w:rPr>
                <w:rFonts w:eastAsia="方正仿宋简体" w:hint="eastAsia"/>
                <w:color w:val="000000"/>
                <w:kern w:val="0"/>
                <w:sz w:val="24"/>
                <w:szCs w:val="24"/>
              </w:rPr>
              <w:t>3.5</w:t>
            </w:r>
          </w:p>
        </w:tc>
      </w:tr>
      <w:tr w:rsidR="0067132B">
        <w:trPr>
          <w:cantSplit/>
          <w:trHeight w:val="510"/>
          <w:jc w:val="center"/>
        </w:trPr>
        <w:tc>
          <w:tcPr>
            <w:tcW w:w="3795" w:type="dxa"/>
            <w:tcBorders>
              <w:top w:val="nil"/>
              <w:left w:val="single" w:sz="4" w:space="0" w:color="auto"/>
              <w:bottom w:val="single" w:sz="4" w:space="0" w:color="auto"/>
              <w:right w:val="single" w:sz="4" w:space="0" w:color="auto"/>
            </w:tcBorders>
            <w:vAlign w:val="center"/>
          </w:tcPr>
          <w:p w:rsidR="0067132B" w:rsidRDefault="00946D1A">
            <w:pPr>
              <w:widowControl/>
              <w:spacing w:line="440" w:lineRule="exact"/>
              <w:jc w:val="left"/>
              <w:rPr>
                <w:rFonts w:ascii="黑体" w:eastAsia="黑体" w:hAnsi="黑体"/>
                <w:sz w:val="24"/>
                <w:szCs w:val="24"/>
              </w:rPr>
            </w:pPr>
            <w:r>
              <w:rPr>
                <w:rFonts w:ascii="黑体" w:eastAsia="黑体" w:hAnsi="黑体" w:hint="eastAsia"/>
                <w:sz w:val="24"/>
              </w:rPr>
              <w:t>社有</w:t>
            </w:r>
            <w:r>
              <w:rPr>
                <w:rFonts w:ascii="黑体" w:eastAsia="黑体" w:hAnsi="黑体" w:hint="eastAsia"/>
                <w:sz w:val="24"/>
              </w:rPr>
              <w:t>企业利润</w:t>
            </w:r>
            <w:r>
              <w:rPr>
                <w:rFonts w:ascii="黑体" w:eastAsia="黑体" w:hAnsi="黑体" w:hint="eastAsia"/>
                <w:sz w:val="24"/>
              </w:rPr>
              <w:t>总额</w:t>
            </w:r>
            <w:r>
              <w:rPr>
                <w:rFonts w:ascii="黑体" w:eastAsia="黑体" w:hAnsi="黑体" w:hint="eastAsia"/>
                <w:color w:val="000000"/>
                <w:kern w:val="0"/>
                <w:sz w:val="24"/>
              </w:rPr>
              <w:t>（亿元）</w:t>
            </w:r>
          </w:p>
        </w:tc>
        <w:tc>
          <w:tcPr>
            <w:tcW w:w="1674" w:type="dxa"/>
            <w:tcBorders>
              <w:top w:val="nil"/>
              <w:left w:val="nil"/>
              <w:bottom w:val="single" w:sz="4" w:space="0" w:color="auto"/>
              <w:right w:val="single" w:sz="4" w:space="0" w:color="auto"/>
            </w:tcBorders>
            <w:vAlign w:val="center"/>
          </w:tcPr>
          <w:p w:rsidR="0067132B" w:rsidRDefault="00946D1A">
            <w:pPr>
              <w:widowControl/>
              <w:spacing w:line="440" w:lineRule="exact"/>
              <w:jc w:val="center"/>
              <w:rPr>
                <w:rFonts w:eastAsia="方正仿宋简体"/>
                <w:color w:val="000000"/>
                <w:kern w:val="0"/>
                <w:sz w:val="24"/>
                <w:szCs w:val="24"/>
              </w:rPr>
            </w:pPr>
            <w:r>
              <w:rPr>
                <w:rFonts w:eastAsia="方正仿宋简体" w:hint="eastAsia"/>
                <w:color w:val="000000"/>
                <w:kern w:val="0"/>
                <w:sz w:val="24"/>
                <w:szCs w:val="24"/>
              </w:rPr>
              <w:t>0.</w:t>
            </w:r>
            <w:r>
              <w:rPr>
                <w:rFonts w:eastAsia="方正仿宋简体" w:hint="eastAsia"/>
                <w:color w:val="000000"/>
                <w:kern w:val="0"/>
                <w:sz w:val="24"/>
                <w:szCs w:val="24"/>
              </w:rPr>
              <w:t>12</w:t>
            </w:r>
          </w:p>
        </w:tc>
        <w:tc>
          <w:tcPr>
            <w:tcW w:w="1956" w:type="dxa"/>
            <w:tcBorders>
              <w:top w:val="nil"/>
              <w:left w:val="nil"/>
              <w:bottom w:val="single" w:sz="4" w:space="0" w:color="auto"/>
              <w:right w:val="single" w:sz="4" w:space="0" w:color="auto"/>
            </w:tcBorders>
            <w:vAlign w:val="center"/>
          </w:tcPr>
          <w:p w:rsidR="0067132B" w:rsidRDefault="00946D1A">
            <w:pPr>
              <w:widowControl/>
              <w:spacing w:line="440" w:lineRule="exact"/>
              <w:jc w:val="center"/>
              <w:rPr>
                <w:rFonts w:eastAsia="方正仿宋简体"/>
                <w:color w:val="000000"/>
                <w:kern w:val="0"/>
                <w:sz w:val="24"/>
                <w:szCs w:val="24"/>
              </w:rPr>
            </w:pPr>
            <w:r>
              <w:rPr>
                <w:rFonts w:eastAsia="方正仿宋简体" w:hint="eastAsia"/>
                <w:color w:val="000000"/>
                <w:kern w:val="0"/>
                <w:sz w:val="24"/>
                <w:szCs w:val="24"/>
              </w:rPr>
              <w:t>0.</w:t>
            </w:r>
            <w:r>
              <w:rPr>
                <w:rFonts w:eastAsia="方正仿宋简体" w:hint="eastAsia"/>
                <w:color w:val="000000"/>
                <w:kern w:val="0"/>
                <w:sz w:val="24"/>
                <w:szCs w:val="24"/>
              </w:rPr>
              <w:t>2</w:t>
            </w:r>
          </w:p>
        </w:tc>
        <w:tc>
          <w:tcPr>
            <w:tcW w:w="1344" w:type="dxa"/>
            <w:tcBorders>
              <w:top w:val="nil"/>
              <w:left w:val="nil"/>
              <w:bottom w:val="single" w:sz="4" w:space="0" w:color="auto"/>
              <w:right w:val="single" w:sz="4" w:space="0" w:color="auto"/>
            </w:tcBorders>
            <w:vAlign w:val="center"/>
          </w:tcPr>
          <w:p w:rsidR="0067132B" w:rsidRDefault="00946D1A">
            <w:pPr>
              <w:widowControl/>
              <w:spacing w:line="440" w:lineRule="exact"/>
              <w:jc w:val="center"/>
              <w:rPr>
                <w:rFonts w:eastAsia="方正仿宋简体"/>
                <w:color w:val="000000"/>
                <w:kern w:val="0"/>
                <w:sz w:val="24"/>
                <w:szCs w:val="24"/>
              </w:rPr>
            </w:pPr>
            <w:r>
              <w:rPr>
                <w:rFonts w:eastAsia="方正仿宋简体" w:hint="eastAsia"/>
                <w:color w:val="000000"/>
                <w:kern w:val="0"/>
                <w:sz w:val="24"/>
                <w:szCs w:val="24"/>
              </w:rPr>
              <w:t>1.2</w:t>
            </w:r>
          </w:p>
        </w:tc>
      </w:tr>
      <w:tr w:rsidR="0067132B">
        <w:trPr>
          <w:cantSplit/>
          <w:trHeight w:val="510"/>
          <w:jc w:val="center"/>
        </w:trPr>
        <w:tc>
          <w:tcPr>
            <w:tcW w:w="3795" w:type="dxa"/>
            <w:tcBorders>
              <w:top w:val="nil"/>
              <w:left w:val="single" w:sz="4" w:space="0" w:color="auto"/>
              <w:bottom w:val="single" w:sz="4" w:space="0" w:color="auto"/>
              <w:right w:val="single" w:sz="4" w:space="0" w:color="auto"/>
            </w:tcBorders>
            <w:vAlign w:val="center"/>
          </w:tcPr>
          <w:p w:rsidR="0067132B" w:rsidRDefault="00946D1A">
            <w:pPr>
              <w:widowControl/>
              <w:spacing w:line="440" w:lineRule="exact"/>
              <w:jc w:val="left"/>
              <w:rPr>
                <w:rFonts w:ascii="黑体" w:eastAsia="黑体" w:hAnsi="黑体"/>
                <w:sz w:val="24"/>
                <w:szCs w:val="24"/>
              </w:rPr>
            </w:pPr>
            <w:r>
              <w:rPr>
                <w:rFonts w:ascii="黑体" w:eastAsia="黑体" w:hAnsi="黑体" w:hint="eastAsia"/>
                <w:sz w:val="24"/>
              </w:rPr>
              <w:t>土地全托管面积（亩）</w:t>
            </w:r>
          </w:p>
        </w:tc>
        <w:tc>
          <w:tcPr>
            <w:tcW w:w="1674" w:type="dxa"/>
            <w:tcBorders>
              <w:top w:val="nil"/>
              <w:left w:val="nil"/>
              <w:bottom w:val="single" w:sz="4" w:space="0" w:color="auto"/>
              <w:right w:val="single" w:sz="4" w:space="0" w:color="auto"/>
            </w:tcBorders>
            <w:vAlign w:val="center"/>
          </w:tcPr>
          <w:p w:rsidR="0067132B" w:rsidRDefault="00946D1A">
            <w:pPr>
              <w:widowControl/>
              <w:spacing w:line="440" w:lineRule="exact"/>
              <w:jc w:val="center"/>
              <w:rPr>
                <w:rFonts w:eastAsia="方正仿宋简体"/>
                <w:color w:val="000000"/>
                <w:kern w:val="0"/>
                <w:sz w:val="24"/>
                <w:szCs w:val="24"/>
              </w:rPr>
            </w:pPr>
            <w:r>
              <w:rPr>
                <w:rFonts w:eastAsia="方正仿宋简体" w:hint="eastAsia"/>
                <w:color w:val="000000"/>
                <w:kern w:val="0"/>
                <w:sz w:val="24"/>
                <w:szCs w:val="24"/>
              </w:rPr>
              <w:t>14000</w:t>
            </w:r>
          </w:p>
        </w:tc>
        <w:tc>
          <w:tcPr>
            <w:tcW w:w="1956" w:type="dxa"/>
            <w:tcBorders>
              <w:top w:val="nil"/>
              <w:left w:val="nil"/>
              <w:bottom w:val="single" w:sz="4" w:space="0" w:color="auto"/>
              <w:right w:val="single" w:sz="4" w:space="0" w:color="auto"/>
            </w:tcBorders>
            <w:vAlign w:val="center"/>
          </w:tcPr>
          <w:p w:rsidR="0067132B" w:rsidRDefault="00946D1A">
            <w:pPr>
              <w:widowControl/>
              <w:spacing w:line="440" w:lineRule="exact"/>
              <w:jc w:val="center"/>
              <w:rPr>
                <w:rFonts w:eastAsia="方正仿宋简体"/>
                <w:color w:val="000000"/>
                <w:kern w:val="0"/>
                <w:sz w:val="24"/>
                <w:szCs w:val="24"/>
              </w:rPr>
            </w:pPr>
            <w:r>
              <w:rPr>
                <w:rFonts w:eastAsia="方正仿宋简体" w:hint="eastAsia"/>
                <w:color w:val="000000"/>
                <w:kern w:val="0"/>
                <w:sz w:val="24"/>
                <w:szCs w:val="24"/>
              </w:rPr>
              <w:t>20000</w:t>
            </w:r>
          </w:p>
        </w:tc>
        <w:tc>
          <w:tcPr>
            <w:tcW w:w="1344" w:type="dxa"/>
            <w:tcBorders>
              <w:top w:val="nil"/>
              <w:left w:val="nil"/>
              <w:bottom w:val="single" w:sz="4" w:space="0" w:color="auto"/>
              <w:right w:val="single" w:sz="4" w:space="0" w:color="auto"/>
            </w:tcBorders>
            <w:vAlign w:val="center"/>
          </w:tcPr>
          <w:p w:rsidR="0067132B" w:rsidRDefault="00946D1A">
            <w:pPr>
              <w:widowControl/>
              <w:spacing w:line="440" w:lineRule="exact"/>
              <w:jc w:val="center"/>
              <w:rPr>
                <w:rFonts w:eastAsia="方正仿宋简体"/>
                <w:color w:val="000000"/>
                <w:kern w:val="0"/>
                <w:sz w:val="24"/>
                <w:szCs w:val="24"/>
              </w:rPr>
            </w:pPr>
            <w:r>
              <w:rPr>
                <w:rFonts w:eastAsia="方正仿宋简体" w:hint="eastAsia"/>
                <w:color w:val="000000"/>
                <w:kern w:val="0"/>
                <w:sz w:val="24"/>
                <w:szCs w:val="24"/>
              </w:rPr>
              <w:t>70000</w:t>
            </w:r>
          </w:p>
        </w:tc>
      </w:tr>
      <w:tr w:rsidR="0067132B">
        <w:trPr>
          <w:cantSplit/>
          <w:trHeight w:val="510"/>
          <w:jc w:val="center"/>
        </w:trPr>
        <w:tc>
          <w:tcPr>
            <w:tcW w:w="3795" w:type="dxa"/>
            <w:tcBorders>
              <w:top w:val="nil"/>
              <w:left w:val="single" w:sz="4" w:space="0" w:color="auto"/>
              <w:bottom w:val="single" w:sz="4" w:space="0" w:color="auto"/>
              <w:right w:val="single" w:sz="4" w:space="0" w:color="auto"/>
            </w:tcBorders>
            <w:vAlign w:val="center"/>
          </w:tcPr>
          <w:p w:rsidR="0067132B" w:rsidRDefault="00946D1A">
            <w:pPr>
              <w:widowControl/>
              <w:spacing w:line="440" w:lineRule="exact"/>
              <w:jc w:val="left"/>
              <w:rPr>
                <w:rFonts w:ascii="黑体" w:eastAsia="黑体" w:hAnsi="黑体"/>
                <w:sz w:val="24"/>
                <w:szCs w:val="24"/>
              </w:rPr>
            </w:pPr>
            <w:r>
              <w:rPr>
                <w:rFonts w:ascii="黑体" w:eastAsia="黑体" w:hAnsi="黑体" w:hint="eastAsia"/>
                <w:sz w:val="24"/>
              </w:rPr>
              <w:t>农业社会化服务（亩次）</w:t>
            </w:r>
          </w:p>
        </w:tc>
        <w:tc>
          <w:tcPr>
            <w:tcW w:w="1674" w:type="dxa"/>
            <w:tcBorders>
              <w:top w:val="nil"/>
              <w:left w:val="nil"/>
              <w:bottom w:val="single" w:sz="4" w:space="0" w:color="auto"/>
              <w:right w:val="single" w:sz="4" w:space="0" w:color="auto"/>
            </w:tcBorders>
            <w:vAlign w:val="center"/>
          </w:tcPr>
          <w:p w:rsidR="0067132B" w:rsidRDefault="00946D1A">
            <w:pPr>
              <w:widowControl/>
              <w:spacing w:line="440" w:lineRule="exact"/>
              <w:jc w:val="center"/>
              <w:rPr>
                <w:rFonts w:eastAsia="方正仿宋简体"/>
                <w:color w:val="000000"/>
                <w:kern w:val="0"/>
                <w:sz w:val="24"/>
                <w:szCs w:val="24"/>
              </w:rPr>
            </w:pPr>
            <w:r>
              <w:rPr>
                <w:rFonts w:eastAsia="方正仿宋简体" w:hint="eastAsia"/>
                <w:color w:val="000000"/>
                <w:kern w:val="0"/>
                <w:sz w:val="24"/>
                <w:szCs w:val="24"/>
              </w:rPr>
              <w:t>21000</w:t>
            </w:r>
          </w:p>
        </w:tc>
        <w:tc>
          <w:tcPr>
            <w:tcW w:w="1956" w:type="dxa"/>
            <w:tcBorders>
              <w:top w:val="nil"/>
              <w:left w:val="nil"/>
              <w:bottom w:val="single" w:sz="4" w:space="0" w:color="auto"/>
              <w:right w:val="single" w:sz="4" w:space="0" w:color="auto"/>
            </w:tcBorders>
            <w:vAlign w:val="center"/>
          </w:tcPr>
          <w:p w:rsidR="0067132B" w:rsidRDefault="00946D1A">
            <w:pPr>
              <w:widowControl/>
              <w:spacing w:line="440" w:lineRule="exact"/>
              <w:jc w:val="center"/>
              <w:rPr>
                <w:rFonts w:eastAsia="方正仿宋简体"/>
                <w:color w:val="000000"/>
                <w:kern w:val="0"/>
                <w:sz w:val="24"/>
                <w:szCs w:val="24"/>
              </w:rPr>
            </w:pPr>
            <w:r>
              <w:rPr>
                <w:rFonts w:eastAsia="方正仿宋简体" w:hint="eastAsia"/>
                <w:color w:val="000000"/>
                <w:kern w:val="0"/>
                <w:sz w:val="24"/>
                <w:szCs w:val="24"/>
              </w:rPr>
              <w:t>30000</w:t>
            </w:r>
          </w:p>
        </w:tc>
        <w:tc>
          <w:tcPr>
            <w:tcW w:w="1344" w:type="dxa"/>
            <w:tcBorders>
              <w:top w:val="nil"/>
              <w:left w:val="nil"/>
              <w:bottom w:val="single" w:sz="4" w:space="0" w:color="auto"/>
              <w:right w:val="single" w:sz="4" w:space="0" w:color="auto"/>
            </w:tcBorders>
            <w:vAlign w:val="center"/>
          </w:tcPr>
          <w:p w:rsidR="0067132B" w:rsidRDefault="00946D1A">
            <w:pPr>
              <w:widowControl/>
              <w:spacing w:line="440" w:lineRule="exact"/>
              <w:jc w:val="center"/>
              <w:rPr>
                <w:rFonts w:eastAsia="方正仿宋简体"/>
                <w:color w:val="000000"/>
                <w:kern w:val="0"/>
                <w:sz w:val="24"/>
                <w:szCs w:val="24"/>
              </w:rPr>
            </w:pPr>
            <w:r>
              <w:rPr>
                <w:rFonts w:eastAsia="方正仿宋简体" w:hint="eastAsia"/>
                <w:color w:val="000000"/>
                <w:kern w:val="0"/>
                <w:sz w:val="24"/>
                <w:szCs w:val="24"/>
              </w:rPr>
              <w:t>150000</w:t>
            </w:r>
          </w:p>
        </w:tc>
      </w:tr>
      <w:tr w:rsidR="0067132B">
        <w:trPr>
          <w:cantSplit/>
          <w:trHeight w:val="1790"/>
          <w:jc w:val="center"/>
        </w:trPr>
        <w:tc>
          <w:tcPr>
            <w:tcW w:w="3795" w:type="dxa"/>
            <w:tcBorders>
              <w:top w:val="nil"/>
              <w:left w:val="single" w:sz="4" w:space="0" w:color="auto"/>
              <w:bottom w:val="single" w:sz="4" w:space="0" w:color="auto"/>
              <w:right w:val="single" w:sz="4" w:space="0" w:color="auto"/>
            </w:tcBorders>
            <w:vAlign w:val="center"/>
          </w:tcPr>
          <w:p w:rsidR="0067132B" w:rsidRDefault="00946D1A">
            <w:pPr>
              <w:widowControl/>
              <w:spacing w:line="440" w:lineRule="exact"/>
              <w:jc w:val="left"/>
              <w:rPr>
                <w:rFonts w:ascii="黑体" w:eastAsia="黑体" w:hAnsi="黑体"/>
                <w:sz w:val="24"/>
                <w:szCs w:val="24"/>
              </w:rPr>
            </w:pPr>
            <w:r>
              <w:rPr>
                <w:rFonts w:ascii="黑体" w:eastAsia="黑体" w:hAnsi="黑体" w:hint="eastAsia"/>
                <w:sz w:val="24"/>
              </w:rPr>
              <w:t>企业资产负债率（</w:t>
            </w:r>
            <w:r>
              <w:rPr>
                <w:rFonts w:ascii="黑体" w:eastAsia="黑体" w:hAnsi="黑体" w:hint="eastAsia"/>
                <w:sz w:val="24"/>
              </w:rPr>
              <w:t>%</w:t>
            </w:r>
            <w:r>
              <w:rPr>
                <w:rFonts w:ascii="黑体" w:eastAsia="黑体" w:hAnsi="黑体" w:hint="eastAsia"/>
                <w:sz w:val="24"/>
              </w:rPr>
              <w:t>）</w:t>
            </w:r>
          </w:p>
        </w:tc>
        <w:tc>
          <w:tcPr>
            <w:tcW w:w="1674" w:type="dxa"/>
            <w:tcBorders>
              <w:top w:val="nil"/>
              <w:left w:val="nil"/>
              <w:bottom w:val="single" w:sz="4" w:space="0" w:color="auto"/>
              <w:right w:val="single" w:sz="4" w:space="0" w:color="auto"/>
            </w:tcBorders>
            <w:vAlign w:val="center"/>
          </w:tcPr>
          <w:p w:rsidR="0067132B" w:rsidRDefault="00946D1A">
            <w:pPr>
              <w:widowControl/>
              <w:spacing w:line="440" w:lineRule="exact"/>
              <w:jc w:val="center"/>
              <w:rPr>
                <w:rFonts w:eastAsia="方正仿宋简体"/>
                <w:color w:val="000000"/>
                <w:kern w:val="0"/>
                <w:sz w:val="24"/>
                <w:szCs w:val="24"/>
              </w:rPr>
            </w:pPr>
            <w:r>
              <w:rPr>
                <w:rFonts w:eastAsia="方正仿宋简体" w:hint="eastAsia"/>
                <w:color w:val="000000"/>
                <w:kern w:val="0"/>
                <w:sz w:val="24"/>
                <w:szCs w:val="24"/>
              </w:rPr>
              <w:t>66</w:t>
            </w:r>
          </w:p>
        </w:tc>
        <w:tc>
          <w:tcPr>
            <w:tcW w:w="1956" w:type="dxa"/>
            <w:tcBorders>
              <w:top w:val="nil"/>
              <w:left w:val="nil"/>
              <w:bottom w:val="single" w:sz="4" w:space="0" w:color="auto"/>
              <w:right w:val="single" w:sz="4" w:space="0" w:color="auto"/>
            </w:tcBorders>
            <w:vAlign w:val="center"/>
          </w:tcPr>
          <w:p w:rsidR="0067132B" w:rsidRDefault="00946D1A">
            <w:pPr>
              <w:widowControl/>
              <w:spacing w:line="440" w:lineRule="exact"/>
              <w:jc w:val="center"/>
              <w:rPr>
                <w:rFonts w:eastAsia="方正仿宋简体"/>
                <w:color w:val="000000"/>
                <w:kern w:val="0"/>
                <w:sz w:val="24"/>
                <w:szCs w:val="24"/>
              </w:rPr>
            </w:pPr>
            <w:r>
              <w:rPr>
                <w:rFonts w:eastAsia="方正仿宋简体" w:hint="eastAsia"/>
                <w:color w:val="000000"/>
                <w:kern w:val="0"/>
                <w:sz w:val="24"/>
                <w:szCs w:val="24"/>
              </w:rPr>
              <w:t>65</w:t>
            </w:r>
          </w:p>
        </w:tc>
        <w:tc>
          <w:tcPr>
            <w:tcW w:w="1344" w:type="dxa"/>
            <w:tcBorders>
              <w:top w:val="nil"/>
              <w:left w:val="nil"/>
              <w:bottom w:val="single" w:sz="4" w:space="0" w:color="auto"/>
              <w:right w:val="single" w:sz="4" w:space="0" w:color="auto"/>
            </w:tcBorders>
            <w:vAlign w:val="center"/>
          </w:tcPr>
          <w:p w:rsidR="0067132B" w:rsidRDefault="00946D1A">
            <w:pPr>
              <w:widowControl/>
              <w:spacing w:line="440" w:lineRule="exact"/>
              <w:jc w:val="center"/>
              <w:rPr>
                <w:rFonts w:eastAsia="方正仿宋简体"/>
                <w:color w:val="000000"/>
                <w:kern w:val="0"/>
                <w:sz w:val="24"/>
                <w:szCs w:val="24"/>
              </w:rPr>
            </w:pPr>
            <w:r>
              <w:rPr>
                <w:rFonts w:eastAsia="方正仿宋简体" w:hint="eastAsia"/>
                <w:color w:val="000000"/>
                <w:kern w:val="0"/>
                <w:sz w:val="24"/>
                <w:szCs w:val="24"/>
              </w:rPr>
              <w:t>63</w:t>
            </w:r>
          </w:p>
        </w:tc>
      </w:tr>
    </w:tbl>
    <w:p w:rsidR="0067132B" w:rsidRDefault="0067132B">
      <w:pPr>
        <w:rPr>
          <w:rFonts w:ascii="仿宋" w:eastAsia="仿宋" w:hAnsi="仿宋"/>
        </w:rPr>
        <w:sectPr w:rsidR="0067132B">
          <w:pgSz w:w="11906" w:h="16838"/>
          <w:pgMar w:top="1440" w:right="1800" w:bottom="1440" w:left="1800" w:header="851" w:footer="992" w:gutter="0"/>
          <w:cols w:space="425"/>
          <w:docGrid w:type="lines" w:linePitch="312"/>
        </w:sectPr>
      </w:pPr>
    </w:p>
    <w:p w:rsidR="0067132B" w:rsidRDefault="00946D1A">
      <w:pPr>
        <w:pStyle w:val="a5"/>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三、主要任务</w:t>
      </w:r>
    </w:p>
    <w:p w:rsidR="0067132B" w:rsidRDefault="00946D1A">
      <w:pPr>
        <w:spacing w:line="58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（一）抢抓机遇，拓展经营服务领域</w:t>
      </w:r>
    </w:p>
    <w:p w:rsidR="0067132B" w:rsidRDefault="00946D1A">
      <w:pPr>
        <w:spacing w:line="58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 xml:space="preserve">1. </w:t>
      </w:r>
      <w:r>
        <w:rPr>
          <w:rFonts w:ascii="仿宋_GB2312" w:eastAsia="仿宋_GB2312" w:hAnsi="仿宋_GB2312" w:cs="仿宋_GB2312" w:hint="eastAsia"/>
          <w:b/>
          <w:bCs/>
          <w:kern w:val="0"/>
          <w:sz w:val="32"/>
          <w:szCs w:val="32"/>
        </w:rPr>
        <w:t>扩大农业生产生活服务渠道。</w:t>
      </w:r>
      <w:r>
        <w:rPr>
          <w:rFonts w:ascii="仿宋_GB2312" w:eastAsia="仿宋_GB2312" w:hAnsi="仿宋_GB2312" w:cs="仿宋_GB2312" w:hint="eastAsia"/>
          <w:kern w:val="0"/>
          <w:sz w:val="32"/>
          <w:szCs w:val="32"/>
        </w:rPr>
        <w:t>推动供销合作社由流通服务向全程农业社会化服务延伸、向全方位社区服务拓展。积极为农民和各类新型农业经营主体提供产前、产中、产后系列化服务。积极承担政府向社会力量购买的公共服务，利用庄稼医院、供销干校在农业技术推广和农民技能培训中发挥作用。</w:t>
      </w:r>
    </w:p>
    <w:p w:rsidR="0067132B" w:rsidRDefault="00946D1A">
      <w:pPr>
        <w:spacing w:line="58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 xml:space="preserve">2. </w:t>
      </w:r>
      <w:r>
        <w:rPr>
          <w:rFonts w:ascii="仿宋_GB2312" w:eastAsia="仿宋_GB2312" w:hAnsi="仿宋_GB2312" w:cs="仿宋_GB2312" w:hint="eastAsia"/>
          <w:b/>
          <w:bCs/>
          <w:kern w:val="0"/>
          <w:sz w:val="32"/>
          <w:szCs w:val="32"/>
        </w:rPr>
        <w:t>提升农产品流通服务功能。</w:t>
      </w:r>
      <w:r>
        <w:rPr>
          <w:rFonts w:ascii="仿宋_GB2312" w:eastAsia="仿宋_GB2312" w:hAnsi="仿宋_GB2312" w:cs="仿宋_GB2312" w:hint="eastAsia"/>
          <w:kern w:val="0"/>
          <w:sz w:val="32"/>
          <w:szCs w:val="32"/>
        </w:rPr>
        <w:t>改造、新建一批功能完善、信息化程度高的大中型农产品批发市场、物流中心和仓储冷链设施。在城乡社区建设一批连锁店、平价店、直销店等农产品零售终端。积极参与公益性农产品批发市场建设，参股政府投资建设的农产品批发市场、菜市场。实施“新网工程”建设，健全</w:t>
      </w:r>
      <w:r>
        <w:rPr>
          <w:rFonts w:ascii="仿宋_GB2312" w:eastAsia="仿宋_GB2312" w:hAnsi="仿宋_GB2312" w:cs="仿宋_GB2312" w:hint="eastAsia"/>
          <w:kern w:val="0"/>
          <w:sz w:val="32"/>
          <w:szCs w:val="32"/>
        </w:rPr>
        <w:t>农资、农副产品、日用消费品、再生资源回收、烟花爆竹、农村合作金融、电子商务等网络，加快形成连锁化、规模化、品牌化经营服务新格局。</w:t>
      </w:r>
    </w:p>
    <w:p w:rsidR="0067132B" w:rsidRDefault="00946D1A">
      <w:pPr>
        <w:pStyle w:val="a5"/>
        <w:spacing w:before="0" w:beforeAutospacing="0" w:after="0" w:afterAutospacing="0" w:line="266" w:lineRule="atLeast"/>
        <w:ind w:firstLine="480"/>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3. </w:t>
      </w:r>
      <w:r>
        <w:rPr>
          <w:rFonts w:ascii="仿宋_GB2312" w:eastAsia="仿宋_GB2312" w:hAnsi="仿宋_GB2312" w:cs="仿宋_GB2312" w:hint="eastAsia"/>
          <w:b/>
          <w:bCs/>
          <w:sz w:val="32"/>
          <w:szCs w:val="32"/>
        </w:rPr>
        <w:t>开拓城乡社区综合服务平台。</w:t>
      </w:r>
      <w:r>
        <w:rPr>
          <w:rFonts w:ascii="仿宋_GB2312" w:eastAsia="仿宋_GB2312" w:hAnsi="仿宋_GB2312" w:cs="仿宋_GB2312" w:hint="eastAsia"/>
          <w:sz w:val="32"/>
          <w:szCs w:val="32"/>
        </w:rPr>
        <w:t>开展党建带社建、村社共建活动，建设一批功能完备、便民实用的农村综合服务社，重点打造高岳、古饶、百善、五沟四个综合为农服务中心。盘活存量资产，统筹城乡供销合作社资源，有序建设城市商贸中心和城镇经营服务综合体。大力发展生态养生、休闲观光、乡村旅游等新兴服务业。强化全市系统烟花爆竹经营企</w:t>
      </w:r>
      <w:r>
        <w:rPr>
          <w:rFonts w:ascii="仿宋_GB2312" w:eastAsia="仿宋_GB2312" w:hAnsi="仿宋_GB2312" w:cs="仿宋_GB2312" w:hint="eastAsia"/>
          <w:sz w:val="32"/>
          <w:szCs w:val="32"/>
        </w:rPr>
        <w:lastRenderedPageBreak/>
        <w:t>业的规范管理，进一步完善烟花爆竹安全经营管理体系。积极探索再生资源发展新路径，规范城乡再生资源回收站点建设。</w:t>
      </w:r>
    </w:p>
    <w:p w:rsidR="0067132B" w:rsidRDefault="00946D1A">
      <w:pPr>
        <w:spacing w:line="580" w:lineRule="exact"/>
        <w:ind w:firstLineChars="196" w:firstLine="630"/>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 xml:space="preserve">4. </w:t>
      </w:r>
      <w:r>
        <w:rPr>
          <w:rFonts w:ascii="仿宋_GB2312" w:eastAsia="仿宋_GB2312" w:hAnsi="仿宋_GB2312" w:cs="仿宋_GB2312" w:hint="eastAsia"/>
          <w:b/>
          <w:bCs/>
          <w:kern w:val="0"/>
          <w:sz w:val="32"/>
          <w:szCs w:val="32"/>
        </w:rPr>
        <w:t>全力打造电子商务。</w:t>
      </w:r>
      <w:r>
        <w:rPr>
          <w:rFonts w:ascii="仿宋_GB2312" w:eastAsia="仿宋_GB2312" w:hAnsi="仿宋_GB2312" w:cs="仿宋_GB2312" w:hint="eastAsia"/>
          <w:kern w:val="0"/>
          <w:sz w:val="32"/>
          <w:szCs w:val="32"/>
        </w:rPr>
        <w:t>推动“快递下乡”工程，促进农村电子商务发展，着力构建网络交易系统。搭建以农村金融为核心，集农技服</w:t>
      </w:r>
      <w:r>
        <w:rPr>
          <w:rFonts w:ascii="仿宋_GB2312" w:eastAsia="仿宋_GB2312" w:hAnsi="仿宋_GB2312" w:cs="仿宋_GB2312" w:hint="eastAsia"/>
          <w:kern w:val="0"/>
          <w:sz w:val="32"/>
          <w:szCs w:val="32"/>
        </w:rPr>
        <w:t>务、便民服务、农产品进城和工业品下乡等服务为一体的电子商务综合服务平台，实现线上线下融合发展，沟通城乡互通有无，打通“最后一公里”。</w:t>
      </w:r>
    </w:p>
    <w:p w:rsidR="0067132B" w:rsidRDefault="00946D1A">
      <w:pPr>
        <w:spacing w:line="580" w:lineRule="exact"/>
        <w:ind w:firstLineChars="196" w:firstLine="630"/>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5</w:t>
      </w:r>
      <w:r>
        <w:rPr>
          <w:rFonts w:ascii="仿宋_GB2312" w:eastAsia="仿宋_GB2312" w:hAnsi="仿宋_GB2312" w:cs="仿宋_GB2312" w:hint="eastAsia"/>
          <w:b/>
          <w:bCs/>
          <w:kern w:val="0"/>
          <w:sz w:val="32"/>
          <w:szCs w:val="32"/>
        </w:rPr>
        <w:t>、精准服务乡村振兴。</w:t>
      </w:r>
      <w:r>
        <w:rPr>
          <w:rFonts w:ascii="仿宋_GB2312" w:eastAsia="仿宋_GB2312" w:hAnsi="仿宋_GB2312" w:cs="仿宋_GB2312" w:hint="eastAsia"/>
          <w:kern w:val="0"/>
          <w:sz w:val="32"/>
          <w:szCs w:val="32"/>
        </w:rPr>
        <w:t>认真落实乡村振兴有关战略政策，积极发挥供销社的基础功能与行业优势，大力推进农村基层供销组织建设，建设功能完善、运转协调的服务网点或村级供销社，壮大集体经济，推进农村规模化经营，努力实现农业产业融合发展，加快形成综合性、规模化、可持续的为农服务体系。</w:t>
      </w:r>
    </w:p>
    <w:p w:rsidR="0067132B" w:rsidRDefault="00946D1A">
      <w:pPr>
        <w:spacing w:line="580" w:lineRule="exact"/>
        <w:ind w:firstLineChars="196" w:firstLine="630"/>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6.</w:t>
      </w:r>
      <w:r>
        <w:rPr>
          <w:rFonts w:ascii="仿宋_GB2312" w:eastAsia="仿宋_GB2312" w:hAnsi="仿宋_GB2312" w:cs="仿宋_GB2312" w:hint="eastAsia"/>
          <w:b/>
          <w:bCs/>
          <w:kern w:val="0"/>
          <w:sz w:val="32"/>
          <w:szCs w:val="32"/>
        </w:rPr>
        <w:t>推进“三位一体”综合合作。</w:t>
      </w:r>
      <w:r>
        <w:rPr>
          <w:rFonts w:ascii="仿宋_GB2312" w:eastAsia="仿宋_GB2312" w:hAnsi="仿宋_GB2312" w:cs="仿宋_GB2312" w:hint="eastAsia"/>
          <w:kern w:val="0"/>
          <w:sz w:val="32"/>
          <w:szCs w:val="32"/>
        </w:rPr>
        <w:t>一是发挥供销社组织网络优势，整合社会资源，引导有条件的基层组织探索开展生产、</w:t>
      </w:r>
      <w:r>
        <w:rPr>
          <w:rFonts w:ascii="仿宋_GB2312" w:eastAsia="仿宋_GB2312" w:hAnsi="仿宋_GB2312" w:cs="仿宋_GB2312" w:hint="eastAsia"/>
          <w:kern w:val="0"/>
          <w:sz w:val="32"/>
          <w:szCs w:val="32"/>
        </w:rPr>
        <w:t>供销、信用“三位一体”综合合作试点，重点把矿山集供销社、古饶供销社和濉溪县社作为“三位一体”综合合作试点进行培育，健全服务农民生产生活综合平台。二是加强系统内外联合合作，以供销社基层组织为主体，整合供销社的流通优势、农民合作社的生产优势、农村合作金融的资金优势，打造集生产、供销、信用服务为一体的综合服务平台，为成员社及农民社员提供综合服务。三是充分发挥淮北市农</w:t>
      </w:r>
      <w:r>
        <w:rPr>
          <w:rFonts w:ascii="仿宋_GB2312" w:eastAsia="仿宋_GB2312" w:hAnsi="仿宋_GB2312" w:cs="仿宋_GB2312" w:hint="eastAsia"/>
          <w:kern w:val="0"/>
          <w:sz w:val="32"/>
          <w:szCs w:val="32"/>
        </w:rPr>
        <w:lastRenderedPageBreak/>
        <w:t>产品经纪人协会在生产流通中的桥梁纽带作用，配合市社有资产经营管理有限公司搭建全市“三位一体”服务平台。</w:t>
      </w:r>
    </w:p>
    <w:p w:rsidR="0067132B" w:rsidRDefault="00946D1A">
      <w:pPr>
        <w:pStyle w:val="2"/>
        <w:ind w:leftChars="0" w:left="0"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7.</w:t>
      </w:r>
      <w:r>
        <w:rPr>
          <w:rFonts w:ascii="仿宋_GB2312" w:eastAsia="仿宋_GB2312" w:hAnsi="仿宋_GB2312" w:cs="仿宋_GB2312" w:hint="eastAsia"/>
          <w:b/>
          <w:bCs/>
          <w:kern w:val="0"/>
          <w:sz w:val="32"/>
          <w:szCs w:val="32"/>
        </w:rPr>
        <w:t>推动农产品冷链物流体系建设。</w:t>
      </w:r>
      <w:r>
        <w:rPr>
          <w:rFonts w:ascii="仿宋_GB2312" w:eastAsia="仿宋_GB2312" w:hAnsi="仿宋_GB2312" w:cs="仿宋_GB2312" w:hint="eastAsia"/>
          <w:kern w:val="0"/>
          <w:sz w:val="32"/>
          <w:szCs w:val="32"/>
        </w:rPr>
        <w:t>抓住国家“农产</w:t>
      </w:r>
      <w:r>
        <w:rPr>
          <w:rFonts w:ascii="仿宋_GB2312" w:eastAsia="仿宋_GB2312" w:hAnsi="仿宋_GB2312" w:cs="仿宋_GB2312" w:hint="eastAsia"/>
          <w:kern w:val="0"/>
          <w:sz w:val="32"/>
          <w:szCs w:val="32"/>
        </w:rPr>
        <w:t>品仓储保鲜冷链物流设施建设工程”政策机遇，加快基础设施建设，积极参与“农产品冷链物流骨干网建设”，谋划建设淮北智慧物流集散中心等一批冷链物流企业，作为深化供销社综合改革、促进乡村振兴的重要举措。</w:t>
      </w:r>
    </w:p>
    <w:p w:rsidR="0067132B" w:rsidRDefault="00946D1A">
      <w:pPr>
        <w:spacing w:line="58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（二）夯实基础，实施基层社改造</w:t>
      </w:r>
    </w:p>
    <w:p w:rsidR="0067132B" w:rsidRDefault="00946D1A">
      <w:pPr>
        <w:spacing w:line="58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 xml:space="preserve">1. </w:t>
      </w:r>
      <w:r>
        <w:rPr>
          <w:rFonts w:ascii="仿宋_GB2312" w:eastAsia="仿宋_GB2312" w:hAnsi="仿宋_GB2312" w:cs="仿宋_GB2312" w:hint="eastAsia"/>
          <w:b/>
          <w:bCs/>
          <w:kern w:val="0"/>
          <w:sz w:val="32"/>
          <w:szCs w:val="32"/>
        </w:rPr>
        <w:t>强化基层社组织建设。</w:t>
      </w:r>
      <w:r>
        <w:rPr>
          <w:rFonts w:ascii="仿宋_GB2312" w:eastAsia="仿宋_GB2312" w:hAnsi="仿宋_GB2312" w:cs="仿宋_GB2312" w:hint="eastAsia"/>
          <w:kern w:val="0"/>
          <w:sz w:val="32"/>
          <w:szCs w:val="32"/>
        </w:rPr>
        <w:t>通过劳动合作、资本合作、土地合作等多种途径，广泛吸纳农民和各类新型农业经营主体入社。按照合作制原则，落实基层社社员代表大会、理事会、监事会制度，强化民主管理、民主监督。以资本为纽带，深入推进开放办社，吸引各类社会资本投入和农村能人入社，促进基层社产权多元化。</w:t>
      </w:r>
      <w:r>
        <w:rPr>
          <w:rFonts w:ascii="仿宋_GB2312" w:eastAsia="仿宋_GB2312" w:hAnsi="仿宋_GB2312" w:cs="仿宋_GB2312" w:hint="eastAsia"/>
          <w:kern w:val="0"/>
          <w:sz w:val="32"/>
          <w:szCs w:val="32"/>
        </w:rPr>
        <w:t>鼓励村“两委”负责人、农村能人等入社参选。规范基层社和农民社员的利益分配关系，建立健全按交易额返利和按股分红相结合的分配制度。</w:t>
      </w:r>
    </w:p>
    <w:p w:rsidR="0067132B" w:rsidRDefault="00946D1A">
      <w:pPr>
        <w:spacing w:line="58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 xml:space="preserve">2. </w:t>
      </w:r>
      <w:r>
        <w:rPr>
          <w:rFonts w:ascii="仿宋_GB2312" w:eastAsia="仿宋_GB2312" w:hAnsi="仿宋_GB2312" w:cs="仿宋_GB2312" w:hint="eastAsia"/>
          <w:b/>
          <w:bCs/>
          <w:kern w:val="0"/>
          <w:sz w:val="32"/>
          <w:szCs w:val="32"/>
        </w:rPr>
        <w:t>大力实施基层社改造。</w:t>
      </w:r>
      <w:r>
        <w:rPr>
          <w:rFonts w:ascii="仿宋_GB2312" w:eastAsia="仿宋_GB2312" w:hAnsi="仿宋_GB2312" w:cs="仿宋_GB2312" w:hint="eastAsia"/>
          <w:kern w:val="0"/>
          <w:sz w:val="32"/>
          <w:szCs w:val="32"/>
        </w:rPr>
        <w:t>全面完成供销合作社土地确权登记颁证工作。经济实力较强的基层社实施开放办社，积极发展各类相关产业，办成综合性合作社。经济实力较弱的基层社，加大合作力度，以自身资源为基础，寻求合作伙伴，提升自身服务能力。逐步将已经承包或租赁的基层社网点纳入供销合作社经营服务体系；在基层社空白地区，采取多种方式进行恢复和重建，按照地域或产业特点，吸收广大农民、</w:t>
      </w:r>
      <w:r>
        <w:rPr>
          <w:rFonts w:ascii="仿宋_GB2312" w:eastAsia="仿宋_GB2312" w:hAnsi="仿宋_GB2312" w:cs="仿宋_GB2312" w:hint="eastAsia"/>
          <w:kern w:val="0"/>
          <w:sz w:val="32"/>
          <w:szCs w:val="32"/>
        </w:rPr>
        <w:lastRenderedPageBreak/>
        <w:t>社区居民、基层社职</w:t>
      </w:r>
      <w:r>
        <w:rPr>
          <w:rFonts w:ascii="仿宋_GB2312" w:eastAsia="仿宋_GB2312" w:hAnsi="仿宋_GB2312" w:cs="仿宋_GB2312" w:hint="eastAsia"/>
          <w:kern w:val="0"/>
          <w:sz w:val="32"/>
          <w:szCs w:val="32"/>
        </w:rPr>
        <w:t>工等合作、入股，打破行政区域局限，创建一批新型基层社。</w:t>
      </w:r>
    </w:p>
    <w:p w:rsidR="0067132B" w:rsidRDefault="00946D1A">
      <w:pPr>
        <w:spacing w:line="58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 xml:space="preserve">3. </w:t>
      </w:r>
      <w:r>
        <w:rPr>
          <w:rFonts w:ascii="仿宋_GB2312" w:eastAsia="仿宋_GB2312" w:hAnsi="仿宋_GB2312" w:cs="仿宋_GB2312" w:hint="eastAsia"/>
          <w:b/>
          <w:bCs/>
          <w:kern w:val="0"/>
          <w:sz w:val="32"/>
          <w:szCs w:val="32"/>
        </w:rPr>
        <w:t>加强农民专业合作社建设。</w:t>
      </w:r>
      <w:r>
        <w:rPr>
          <w:rFonts w:ascii="仿宋_GB2312" w:eastAsia="仿宋_GB2312" w:hAnsi="仿宋_GB2312" w:cs="仿宋_GB2312" w:hint="eastAsia"/>
          <w:kern w:val="0"/>
          <w:sz w:val="32"/>
          <w:szCs w:val="32"/>
        </w:rPr>
        <w:t>采取自办、领办、合作、服务等模式，加快发展农民专业合作社。通过共同出资、共创品牌、共享利益等方式，创办一批管理民主、制度健全、产权清晰、带动力强的农民专业合作社。在自愿的前提下，引导发展农民专业合作社联合社。</w:t>
      </w:r>
    </w:p>
    <w:p w:rsidR="0067132B" w:rsidRDefault="00946D1A">
      <w:pPr>
        <w:spacing w:line="58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 xml:space="preserve">4. </w:t>
      </w:r>
      <w:r>
        <w:rPr>
          <w:rFonts w:ascii="仿宋_GB2312" w:eastAsia="仿宋_GB2312" w:hAnsi="仿宋_GB2312" w:cs="仿宋_GB2312" w:hint="eastAsia"/>
          <w:b/>
          <w:bCs/>
          <w:kern w:val="0"/>
          <w:sz w:val="32"/>
          <w:szCs w:val="32"/>
        </w:rPr>
        <w:t>支持基层社开展多样化服务。</w:t>
      </w:r>
      <w:r>
        <w:rPr>
          <w:rFonts w:ascii="仿宋_GB2312" w:eastAsia="仿宋_GB2312" w:hAnsi="仿宋_GB2312" w:cs="仿宋_GB2312" w:hint="eastAsia"/>
          <w:kern w:val="0"/>
          <w:sz w:val="32"/>
          <w:szCs w:val="32"/>
        </w:rPr>
        <w:t>支持基层社作为相关涉农政策和项目的实施主体，承担公益性服务。支持符合条件的基层社作为农民专业合作社进行工商登记注册，允许财政项目资金直接投向注册后的基层社，允许财政补助形成的资产按规定</w:t>
      </w:r>
      <w:r>
        <w:rPr>
          <w:rFonts w:ascii="仿宋_GB2312" w:eastAsia="仿宋_GB2312" w:hAnsi="仿宋_GB2312" w:cs="仿宋_GB2312" w:hint="eastAsia"/>
          <w:kern w:val="0"/>
          <w:sz w:val="32"/>
          <w:szCs w:val="32"/>
        </w:rPr>
        <w:t>作为上级社股权由注册后的基层社持有和管护。</w:t>
      </w:r>
    </w:p>
    <w:p w:rsidR="0067132B" w:rsidRDefault="00946D1A">
      <w:pPr>
        <w:spacing w:line="58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5.</w:t>
      </w:r>
      <w:r>
        <w:rPr>
          <w:rFonts w:ascii="仿宋_GB2312" w:eastAsia="仿宋_GB2312" w:hAnsi="仿宋_GB2312" w:cs="仿宋_GB2312" w:hint="eastAsia"/>
          <w:b/>
          <w:bCs/>
          <w:kern w:val="0"/>
          <w:sz w:val="32"/>
          <w:szCs w:val="32"/>
        </w:rPr>
        <w:t>积极发展村级基层社。</w:t>
      </w:r>
      <w:r>
        <w:rPr>
          <w:rFonts w:ascii="仿宋_GB2312" w:eastAsia="仿宋_GB2312" w:hAnsi="仿宋_GB2312" w:cs="仿宋_GB2312" w:hint="eastAsia"/>
          <w:kern w:val="0"/>
          <w:sz w:val="32"/>
          <w:szCs w:val="32"/>
        </w:rPr>
        <w:t>一是强化与农民利益联结。逐步办成一批以农民社员为主体的合作经济组织。完善利益分配机制，建立健全按交易额返利和按股分红相结合的分配制度，因地制宜推广多种利益联结方式。二是发挥村级基层社功能作用。发挥服务现代农业作用，参与农村土地流转、土地托管，推进农业生产全程社会化、系列化服务；发挥壮大村集体经济作用，承接农村“三变”改革，吸纳村集体经济入股，增强村集体经济实力；发挥引领乡风文明作用，宣传弘扬社会主义核心价值观，传播供销社文化，承接政府公共服</w:t>
      </w:r>
      <w:r>
        <w:rPr>
          <w:rFonts w:ascii="仿宋_GB2312" w:eastAsia="仿宋_GB2312" w:hAnsi="仿宋_GB2312" w:cs="仿宋_GB2312" w:hint="eastAsia"/>
          <w:kern w:val="0"/>
          <w:sz w:val="32"/>
          <w:szCs w:val="32"/>
        </w:rPr>
        <w:t>务职能，完善乡村治理。</w:t>
      </w:r>
    </w:p>
    <w:p w:rsidR="0067132B" w:rsidRDefault="00946D1A">
      <w:pPr>
        <w:spacing w:line="58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（三）深化改革，创新联合社体系</w:t>
      </w:r>
    </w:p>
    <w:p w:rsidR="0067132B" w:rsidRDefault="00946D1A">
      <w:pPr>
        <w:spacing w:line="58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巩固完善机关改革。</w:t>
      </w:r>
      <w:r>
        <w:rPr>
          <w:rFonts w:ascii="仿宋_GB2312" w:eastAsia="仿宋_GB2312" w:hAnsi="仿宋_GB2312" w:cs="仿宋_GB2312" w:hint="eastAsia"/>
          <w:kern w:val="0"/>
          <w:sz w:val="32"/>
          <w:szCs w:val="32"/>
        </w:rPr>
        <w:t>全面健全市、县两级联合社社员</w:t>
      </w:r>
      <w:r>
        <w:rPr>
          <w:rFonts w:ascii="仿宋_GB2312" w:eastAsia="仿宋_GB2312" w:hAnsi="仿宋_GB2312" w:cs="仿宋_GB2312" w:hint="eastAsia"/>
          <w:kern w:val="0"/>
          <w:sz w:val="32"/>
          <w:szCs w:val="32"/>
        </w:rPr>
        <w:lastRenderedPageBreak/>
        <w:t>代表大会、理事会、监事会制度。稳定县级及县级以上联合社机关参照公务员法管理。推进民主办社、开放办社，建立市场化的管理体制、经营机制。严格落实《机关目标管理绩效考核细则》，充分调动机关科室、部室全体人员的工作积极性。</w:t>
      </w:r>
    </w:p>
    <w:p w:rsidR="0067132B" w:rsidRDefault="00946D1A">
      <w:pPr>
        <w:spacing w:line="58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不断推动基层社承包经营改革。</w:t>
      </w:r>
      <w:r>
        <w:rPr>
          <w:rFonts w:ascii="仿宋_GB2312" w:eastAsia="仿宋_GB2312" w:hAnsi="仿宋_GB2312" w:cs="仿宋_GB2312" w:hint="eastAsia"/>
          <w:kern w:val="0"/>
          <w:sz w:val="32"/>
          <w:szCs w:val="32"/>
        </w:rPr>
        <w:t>严格落实《淮北市供销社直属基层社社有资产承包经营管理实施方案（试行）》。充分激发基层供销社的内生动力，齐心协力促进基层供销社发展壮大。</w:t>
      </w:r>
    </w:p>
    <w:p w:rsidR="0067132B" w:rsidRDefault="00946D1A">
      <w:pPr>
        <w:spacing w:line="58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3.</w:t>
      </w:r>
      <w:r>
        <w:rPr>
          <w:rFonts w:ascii="仿宋_GB2312" w:eastAsia="仿宋_GB2312" w:hAnsi="仿宋_GB2312" w:cs="仿宋_GB2312" w:hint="eastAsia"/>
          <w:b/>
          <w:bCs/>
          <w:kern w:val="0"/>
          <w:sz w:val="32"/>
          <w:szCs w:val="32"/>
        </w:rPr>
        <w:t>理顺联合社与社有企</w:t>
      </w:r>
      <w:r>
        <w:rPr>
          <w:rFonts w:ascii="仿宋_GB2312" w:eastAsia="仿宋_GB2312" w:hAnsi="仿宋_GB2312" w:cs="仿宋_GB2312" w:hint="eastAsia"/>
          <w:b/>
          <w:bCs/>
          <w:kern w:val="0"/>
          <w:sz w:val="32"/>
          <w:szCs w:val="32"/>
        </w:rPr>
        <w:t>业工作关系。</w:t>
      </w:r>
      <w:r>
        <w:rPr>
          <w:rFonts w:ascii="仿宋_GB2312" w:eastAsia="仿宋_GB2312" w:hAnsi="仿宋_GB2312" w:cs="仿宋_GB2312" w:hint="eastAsia"/>
          <w:kern w:val="0"/>
          <w:sz w:val="32"/>
          <w:szCs w:val="32"/>
        </w:rPr>
        <w:t>市供销合作社理事会是社属资产和所属企业单位资产的所有权代表和管理者，履行社有资产出资人代表职责。监事会落实监督职能，确保资产运作安全高效。适时组建社有资本投资公司，优化社有资本布局，重点投向为农服务领域。</w:t>
      </w:r>
    </w:p>
    <w:p w:rsidR="0067132B" w:rsidRDefault="00946D1A">
      <w:pPr>
        <w:spacing w:line="58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（四）提质增效，健全社有企业经营服务体系</w:t>
      </w:r>
    </w:p>
    <w:p w:rsidR="0067132B" w:rsidRDefault="00946D1A">
      <w:pPr>
        <w:spacing w:line="58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 xml:space="preserve">1. </w:t>
      </w:r>
      <w:r>
        <w:rPr>
          <w:rFonts w:ascii="仿宋_GB2312" w:eastAsia="仿宋_GB2312" w:hAnsi="仿宋_GB2312" w:cs="仿宋_GB2312" w:hint="eastAsia"/>
          <w:b/>
          <w:bCs/>
          <w:kern w:val="0"/>
          <w:sz w:val="32"/>
          <w:szCs w:val="32"/>
        </w:rPr>
        <w:t>建立双线联动运行体制。</w:t>
      </w:r>
      <w:r>
        <w:rPr>
          <w:rFonts w:ascii="仿宋_GB2312" w:eastAsia="仿宋_GB2312" w:hAnsi="仿宋_GB2312" w:cs="仿宋_GB2312" w:hint="eastAsia"/>
          <w:kern w:val="0"/>
          <w:sz w:val="32"/>
          <w:szCs w:val="32"/>
        </w:rPr>
        <w:t>根据“党组统一领导、两体各负其责”的总体思路，建立“市社﹢总公司”双线联动的运行机制，按照现代企业制度成立淮北供销总公司，有效集中整合资产、资本资源、优化人力资源配置。完善现代企业制度，健全法人治理机构，建立健全股东会、董事</w:t>
      </w:r>
      <w:r>
        <w:rPr>
          <w:rFonts w:ascii="仿宋_GB2312" w:eastAsia="仿宋_GB2312" w:hAnsi="仿宋_GB2312" w:cs="仿宋_GB2312" w:hint="eastAsia"/>
          <w:kern w:val="0"/>
          <w:sz w:val="32"/>
          <w:szCs w:val="32"/>
        </w:rPr>
        <w:t>会、监事会运行机制，制定有利于企业发展和资产保值增值的绩效考核机制。加强监督监管，防止社有资产流失。允许上级社争取的同级财政扶持资金依法以上级社股权形式投入社属企业。</w:t>
      </w:r>
    </w:p>
    <w:p w:rsidR="0067132B" w:rsidRDefault="00946D1A">
      <w:pPr>
        <w:spacing w:line="580" w:lineRule="exact"/>
        <w:ind w:firstLineChars="200" w:firstLine="643"/>
        <w:rPr>
          <w:rFonts w:ascii="仿宋" w:eastAsia="仿宋" w:hAnsi="仿宋"/>
          <w:sz w:val="36"/>
          <w:szCs w:val="36"/>
        </w:rPr>
      </w:pPr>
      <w:r>
        <w:rPr>
          <w:rFonts w:ascii="仿宋_GB2312" w:eastAsia="仿宋_GB2312" w:hAnsi="仿宋_GB2312" w:cs="仿宋_GB2312" w:hint="eastAsia"/>
          <w:b/>
          <w:bCs/>
          <w:kern w:val="0"/>
          <w:sz w:val="32"/>
          <w:szCs w:val="32"/>
        </w:rPr>
        <w:lastRenderedPageBreak/>
        <w:t xml:space="preserve">2. </w:t>
      </w:r>
      <w:r>
        <w:rPr>
          <w:rFonts w:ascii="仿宋_GB2312" w:eastAsia="仿宋_GB2312" w:hAnsi="仿宋_GB2312" w:cs="仿宋_GB2312" w:hint="eastAsia"/>
          <w:b/>
          <w:bCs/>
          <w:kern w:val="0"/>
          <w:sz w:val="32"/>
          <w:szCs w:val="32"/>
        </w:rPr>
        <w:t>建立符合市场经济规律的运营机制。</w:t>
      </w:r>
      <w:r>
        <w:rPr>
          <w:rFonts w:ascii="仿宋_GB2312" w:eastAsia="仿宋_GB2312" w:hAnsi="仿宋_GB2312" w:cs="仿宋_GB2312" w:hint="eastAsia"/>
          <w:kern w:val="0"/>
          <w:sz w:val="32"/>
          <w:szCs w:val="32"/>
        </w:rPr>
        <w:t>建立共同出资的投资平台，推动社有企业内部横向联合和纵向联合，优势互补、共同发展，培育在农资、鲜活农产品等重要涉农领域和再生资源、农村金融等方面的大型公司集团。鼓励引导淮北金信农资公司、瑞祥烟花爆竹公司、回收公司、百仓商贸公司等龙头企业转型升级，加大招商引资力度，通过强强联合做大做强。</w:t>
      </w:r>
    </w:p>
    <w:p w:rsidR="0067132B" w:rsidRDefault="00946D1A">
      <w:pPr>
        <w:pStyle w:val="a5"/>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四、保障措施</w:t>
      </w:r>
    </w:p>
    <w:p w:rsidR="0067132B" w:rsidRDefault="00946D1A">
      <w:pPr>
        <w:snapToGrid w:val="0"/>
        <w:spacing w:line="580" w:lineRule="exact"/>
        <w:ind w:firstLine="62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（一）加强领导。</w:t>
      </w:r>
      <w:r>
        <w:rPr>
          <w:rFonts w:ascii="仿宋_GB2312" w:eastAsia="仿宋_GB2312" w:hAnsi="仿宋_GB2312" w:cs="仿宋_GB2312" w:hint="eastAsia"/>
          <w:kern w:val="0"/>
          <w:sz w:val="32"/>
          <w:szCs w:val="32"/>
        </w:rPr>
        <w:t>加强对规划实施的组织领导，充分发挥领导的引领和带动作用，激发广大职工工作活力，统筹谋划、科学安排，明确分工、清晰职责，形成一级抓一级、一级带一级、一级促一级的工作格局。</w:t>
      </w:r>
    </w:p>
    <w:p w:rsidR="0067132B" w:rsidRDefault="00946D1A">
      <w:pPr>
        <w:snapToGrid w:val="0"/>
        <w:spacing w:line="580" w:lineRule="exact"/>
        <w:ind w:firstLine="62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（二）细化目标。</w:t>
      </w:r>
      <w:r>
        <w:rPr>
          <w:rFonts w:ascii="仿宋_GB2312" w:eastAsia="仿宋_GB2312" w:hAnsi="仿宋_GB2312" w:cs="仿宋_GB2312" w:hint="eastAsia"/>
          <w:kern w:val="0"/>
          <w:sz w:val="32"/>
          <w:szCs w:val="32"/>
        </w:rPr>
        <w:t>结合工作实际，细化规划各项目标任务。一是横向细化，制定年度目标时间表，确保按序时进度推进工作。二是纵向细化，制定目标任务图，把各项工作任务分解落实到分管领导、责任科室、承担任务的基层社和社有企业。</w:t>
      </w:r>
    </w:p>
    <w:p w:rsidR="0067132B" w:rsidRDefault="00946D1A">
      <w:pPr>
        <w:snapToGrid w:val="0"/>
        <w:spacing w:line="580" w:lineRule="exact"/>
        <w:ind w:firstLine="630"/>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（三）强化队伍。</w:t>
      </w:r>
      <w:r>
        <w:rPr>
          <w:rFonts w:ascii="仿宋_GB2312" w:eastAsia="仿宋_GB2312" w:hAnsi="仿宋_GB2312" w:cs="仿宋_GB2312" w:hint="eastAsia"/>
          <w:kern w:val="0"/>
          <w:sz w:val="32"/>
          <w:szCs w:val="32"/>
        </w:rPr>
        <w:t>切实优化供销系统干部队伍建设，培养懂管理、懂经济、懂法律的机关干部队伍。建立公司人才队伍计划，公开、公正的面向社会招聘各类专业技术人才，形成与市场经济、农村工作相匹配的人才队伍建设。</w:t>
      </w:r>
    </w:p>
    <w:p w:rsidR="0067132B" w:rsidRDefault="00946D1A">
      <w:pPr>
        <w:snapToGrid w:val="0"/>
        <w:spacing w:line="580" w:lineRule="exact"/>
        <w:ind w:firstLine="630"/>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（四）加强建设。</w:t>
      </w:r>
      <w:r>
        <w:rPr>
          <w:rFonts w:ascii="仿宋_GB2312" w:eastAsia="仿宋_GB2312" w:hAnsi="仿宋_GB2312" w:cs="仿宋_GB2312" w:hint="eastAsia"/>
          <w:kern w:val="0"/>
          <w:sz w:val="32"/>
          <w:szCs w:val="32"/>
        </w:rPr>
        <w:t>一是加强党的建设，强化党内监督，强化权力制约，全面落实党风廉政建设的主体责任和监督责</w:t>
      </w:r>
      <w:r>
        <w:rPr>
          <w:rFonts w:ascii="仿宋_GB2312" w:eastAsia="仿宋_GB2312" w:hAnsi="仿宋_GB2312" w:cs="仿宋_GB2312" w:hint="eastAsia"/>
          <w:kern w:val="0"/>
          <w:sz w:val="32"/>
          <w:szCs w:val="32"/>
        </w:rPr>
        <w:lastRenderedPageBreak/>
        <w:t>任，发挥保障作用。二是加强自身建设，贯彻落实《供销合作社条例》，树立法治思维，加强文化建设，弘扬“为农、诚信、创业、合作”的供销精神，不断优化发展环境。</w:t>
      </w:r>
    </w:p>
    <w:sectPr w:rsidR="006713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简体">
    <w:altName w:val="hakuyoxingshu7000"/>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93D"/>
    <w:rsid w:val="001319E1"/>
    <w:rsid w:val="001651AC"/>
    <w:rsid w:val="00293334"/>
    <w:rsid w:val="002E0C3F"/>
    <w:rsid w:val="002E3A93"/>
    <w:rsid w:val="00485919"/>
    <w:rsid w:val="004C4FDA"/>
    <w:rsid w:val="0067132B"/>
    <w:rsid w:val="008D18A2"/>
    <w:rsid w:val="00946D1A"/>
    <w:rsid w:val="00A34E8B"/>
    <w:rsid w:val="00B74241"/>
    <w:rsid w:val="00B7493D"/>
    <w:rsid w:val="00BD4398"/>
    <w:rsid w:val="00F80E85"/>
    <w:rsid w:val="01044F90"/>
    <w:rsid w:val="014611B7"/>
    <w:rsid w:val="01791BC6"/>
    <w:rsid w:val="019D1B80"/>
    <w:rsid w:val="022D5541"/>
    <w:rsid w:val="029C03CF"/>
    <w:rsid w:val="03B27031"/>
    <w:rsid w:val="04B14400"/>
    <w:rsid w:val="0504565D"/>
    <w:rsid w:val="051C19DC"/>
    <w:rsid w:val="06F5641C"/>
    <w:rsid w:val="07F93007"/>
    <w:rsid w:val="09195260"/>
    <w:rsid w:val="097F541F"/>
    <w:rsid w:val="09816BBB"/>
    <w:rsid w:val="099B4370"/>
    <w:rsid w:val="0A9F3293"/>
    <w:rsid w:val="0B925762"/>
    <w:rsid w:val="0C460CF4"/>
    <w:rsid w:val="0C8A5B35"/>
    <w:rsid w:val="0F1178F8"/>
    <w:rsid w:val="0F79538D"/>
    <w:rsid w:val="0F913882"/>
    <w:rsid w:val="10197D7A"/>
    <w:rsid w:val="10F35A64"/>
    <w:rsid w:val="10F92828"/>
    <w:rsid w:val="1228718E"/>
    <w:rsid w:val="1253507F"/>
    <w:rsid w:val="12915F6F"/>
    <w:rsid w:val="138D28E2"/>
    <w:rsid w:val="149752E0"/>
    <w:rsid w:val="15455F3D"/>
    <w:rsid w:val="15B2239D"/>
    <w:rsid w:val="15FA5E09"/>
    <w:rsid w:val="162F0608"/>
    <w:rsid w:val="1630406A"/>
    <w:rsid w:val="16382518"/>
    <w:rsid w:val="16A25503"/>
    <w:rsid w:val="17A24B3B"/>
    <w:rsid w:val="199A359F"/>
    <w:rsid w:val="1A211C1B"/>
    <w:rsid w:val="1A4B5AA9"/>
    <w:rsid w:val="1A704B88"/>
    <w:rsid w:val="1ADF34F0"/>
    <w:rsid w:val="1B1E37A0"/>
    <w:rsid w:val="1DD37B8A"/>
    <w:rsid w:val="1E2349F6"/>
    <w:rsid w:val="1E4E32C6"/>
    <w:rsid w:val="1F7D460B"/>
    <w:rsid w:val="1FF23186"/>
    <w:rsid w:val="1FF85842"/>
    <w:rsid w:val="207751FB"/>
    <w:rsid w:val="20AB3B3E"/>
    <w:rsid w:val="21BB5A42"/>
    <w:rsid w:val="21EE4FA9"/>
    <w:rsid w:val="226E56CF"/>
    <w:rsid w:val="22802B43"/>
    <w:rsid w:val="228466F4"/>
    <w:rsid w:val="22E51D25"/>
    <w:rsid w:val="241A1D67"/>
    <w:rsid w:val="251047D5"/>
    <w:rsid w:val="251A5A67"/>
    <w:rsid w:val="2579201A"/>
    <w:rsid w:val="27B35225"/>
    <w:rsid w:val="281F4577"/>
    <w:rsid w:val="28760120"/>
    <w:rsid w:val="29577D69"/>
    <w:rsid w:val="2A181C29"/>
    <w:rsid w:val="2A6B538B"/>
    <w:rsid w:val="2A6F294F"/>
    <w:rsid w:val="2AFE1FA3"/>
    <w:rsid w:val="2D6406E7"/>
    <w:rsid w:val="2E5A1D51"/>
    <w:rsid w:val="2E763DBB"/>
    <w:rsid w:val="2EDD35A5"/>
    <w:rsid w:val="308E7A35"/>
    <w:rsid w:val="31963763"/>
    <w:rsid w:val="31B8062F"/>
    <w:rsid w:val="32040E08"/>
    <w:rsid w:val="34773A49"/>
    <w:rsid w:val="350656F6"/>
    <w:rsid w:val="353528E1"/>
    <w:rsid w:val="368B388C"/>
    <w:rsid w:val="386F6744"/>
    <w:rsid w:val="388F2E0C"/>
    <w:rsid w:val="39053BC7"/>
    <w:rsid w:val="3AB4124F"/>
    <w:rsid w:val="3B0E7B49"/>
    <w:rsid w:val="3B437F48"/>
    <w:rsid w:val="3C533255"/>
    <w:rsid w:val="3C950762"/>
    <w:rsid w:val="3E2809D3"/>
    <w:rsid w:val="3E545E60"/>
    <w:rsid w:val="3EBC4693"/>
    <w:rsid w:val="3F3E27B6"/>
    <w:rsid w:val="3FE37D51"/>
    <w:rsid w:val="40C55209"/>
    <w:rsid w:val="41276080"/>
    <w:rsid w:val="41323881"/>
    <w:rsid w:val="415D7BD4"/>
    <w:rsid w:val="41720970"/>
    <w:rsid w:val="419C461C"/>
    <w:rsid w:val="429249E4"/>
    <w:rsid w:val="42C329CF"/>
    <w:rsid w:val="43812B23"/>
    <w:rsid w:val="43CF5765"/>
    <w:rsid w:val="440A4CF9"/>
    <w:rsid w:val="443B3A5C"/>
    <w:rsid w:val="447775CB"/>
    <w:rsid w:val="448B38E9"/>
    <w:rsid w:val="44F22D5C"/>
    <w:rsid w:val="45291A2D"/>
    <w:rsid w:val="4618226D"/>
    <w:rsid w:val="4680542A"/>
    <w:rsid w:val="46DA0267"/>
    <w:rsid w:val="4770022D"/>
    <w:rsid w:val="486D142E"/>
    <w:rsid w:val="488E08BD"/>
    <w:rsid w:val="48C56364"/>
    <w:rsid w:val="48D47EF1"/>
    <w:rsid w:val="49A76A7D"/>
    <w:rsid w:val="4A442C62"/>
    <w:rsid w:val="4A87644F"/>
    <w:rsid w:val="4A8A3C7B"/>
    <w:rsid w:val="4B453B65"/>
    <w:rsid w:val="4C2E0DAC"/>
    <w:rsid w:val="4C40680E"/>
    <w:rsid w:val="4D09144E"/>
    <w:rsid w:val="4DFD077A"/>
    <w:rsid w:val="4E250F58"/>
    <w:rsid w:val="4F136BFB"/>
    <w:rsid w:val="4F362C33"/>
    <w:rsid w:val="4FBC77D7"/>
    <w:rsid w:val="4FC4785E"/>
    <w:rsid w:val="513E4789"/>
    <w:rsid w:val="51756BE8"/>
    <w:rsid w:val="52665DEA"/>
    <w:rsid w:val="527C704F"/>
    <w:rsid w:val="53BE41B4"/>
    <w:rsid w:val="53CA6A79"/>
    <w:rsid w:val="54476D5C"/>
    <w:rsid w:val="54B81EB3"/>
    <w:rsid w:val="55EF45E2"/>
    <w:rsid w:val="56BB681C"/>
    <w:rsid w:val="58527AA0"/>
    <w:rsid w:val="58DD23F0"/>
    <w:rsid w:val="5A203FD2"/>
    <w:rsid w:val="5A873325"/>
    <w:rsid w:val="5AC36CC2"/>
    <w:rsid w:val="5B3A7DF0"/>
    <w:rsid w:val="5C1D2F1C"/>
    <w:rsid w:val="5C51188A"/>
    <w:rsid w:val="5D810487"/>
    <w:rsid w:val="5E1955AC"/>
    <w:rsid w:val="5E6D435E"/>
    <w:rsid w:val="5EB0099E"/>
    <w:rsid w:val="60A60BFE"/>
    <w:rsid w:val="610445A5"/>
    <w:rsid w:val="61234093"/>
    <w:rsid w:val="61A55827"/>
    <w:rsid w:val="61DC33C6"/>
    <w:rsid w:val="61EC3ACE"/>
    <w:rsid w:val="61FB525F"/>
    <w:rsid w:val="62FA6ADA"/>
    <w:rsid w:val="632F4DB3"/>
    <w:rsid w:val="63B65045"/>
    <w:rsid w:val="642C3126"/>
    <w:rsid w:val="65167F6C"/>
    <w:rsid w:val="651C0A17"/>
    <w:rsid w:val="669B6E98"/>
    <w:rsid w:val="671438E1"/>
    <w:rsid w:val="67187EF5"/>
    <w:rsid w:val="67227D43"/>
    <w:rsid w:val="67634C14"/>
    <w:rsid w:val="69DA5F96"/>
    <w:rsid w:val="69E718F6"/>
    <w:rsid w:val="6B6542D2"/>
    <w:rsid w:val="6C9C1895"/>
    <w:rsid w:val="6D7558CE"/>
    <w:rsid w:val="6F5777B0"/>
    <w:rsid w:val="6F9B3A7D"/>
    <w:rsid w:val="6FC62F64"/>
    <w:rsid w:val="700E7C9A"/>
    <w:rsid w:val="7010276C"/>
    <w:rsid w:val="70397EDF"/>
    <w:rsid w:val="70CB34FD"/>
    <w:rsid w:val="711E3399"/>
    <w:rsid w:val="71E82909"/>
    <w:rsid w:val="721E75E8"/>
    <w:rsid w:val="73B76499"/>
    <w:rsid w:val="745612C3"/>
    <w:rsid w:val="7489200A"/>
    <w:rsid w:val="75A125F4"/>
    <w:rsid w:val="76C65A1F"/>
    <w:rsid w:val="77E201FC"/>
    <w:rsid w:val="79072947"/>
    <w:rsid w:val="79A70579"/>
    <w:rsid w:val="7AA4239B"/>
    <w:rsid w:val="7B40029C"/>
    <w:rsid w:val="7BA35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semiHidden="0" w:uiPriority="0" w:unhideWhenUsed="0"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First Indent 2" w:semiHidden="0" w:uiPriority="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rPr>
  </w:style>
  <w:style w:type="paragraph" w:styleId="1">
    <w:name w:val="heading 1"/>
    <w:basedOn w:val="a"/>
    <w:next w:val="a"/>
    <w:uiPriority w:val="9"/>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nhideWhenUsed/>
    <w:qFormat/>
    <w:pPr>
      <w:ind w:firstLine="420"/>
      <w:jc w:val="left"/>
    </w:pPr>
    <w:rPr>
      <w:szCs w:val="22"/>
    </w:rPr>
  </w:style>
  <w:style w:type="paragraph" w:styleId="a3">
    <w:name w:val="Body Text Indent"/>
    <w:basedOn w:val="a"/>
    <w:next w:val="a4"/>
    <w:unhideWhenUsed/>
    <w:qFormat/>
    <w:pPr>
      <w:spacing w:after="120"/>
      <w:ind w:leftChars="200" w:left="420"/>
    </w:pPr>
  </w:style>
  <w:style w:type="paragraph" w:styleId="a4">
    <w:name w:val="envelope return"/>
    <w:basedOn w:val="a"/>
    <w:qFormat/>
    <w:pPr>
      <w:snapToGrid w:val="0"/>
    </w:pPr>
    <w:rPr>
      <w:rFonts w:ascii="Arial" w:hAnsi="Arial" w:cs="Arial"/>
    </w:rPr>
  </w:style>
  <w:style w:type="paragraph" w:styleId="a5">
    <w:name w:val="Normal (Web)"/>
    <w:basedOn w:val="a"/>
    <w:unhideWhenUsed/>
    <w:qFormat/>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semiHidden="0" w:uiPriority="0" w:unhideWhenUsed="0"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First Indent 2" w:semiHidden="0" w:uiPriority="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rPr>
  </w:style>
  <w:style w:type="paragraph" w:styleId="1">
    <w:name w:val="heading 1"/>
    <w:basedOn w:val="a"/>
    <w:next w:val="a"/>
    <w:uiPriority w:val="9"/>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nhideWhenUsed/>
    <w:qFormat/>
    <w:pPr>
      <w:ind w:firstLine="420"/>
      <w:jc w:val="left"/>
    </w:pPr>
    <w:rPr>
      <w:szCs w:val="22"/>
    </w:rPr>
  </w:style>
  <w:style w:type="paragraph" w:styleId="a3">
    <w:name w:val="Body Text Indent"/>
    <w:basedOn w:val="a"/>
    <w:next w:val="a4"/>
    <w:unhideWhenUsed/>
    <w:qFormat/>
    <w:pPr>
      <w:spacing w:after="120"/>
      <w:ind w:leftChars="200" w:left="420"/>
    </w:pPr>
  </w:style>
  <w:style w:type="paragraph" w:styleId="a4">
    <w:name w:val="envelope return"/>
    <w:basedOn w:val="a"/>
    <w:qFormat/>
    <w:pPr>
      <w:snapToGrid w:val="0"/>
    </w:pPr>
    <w:rPr>
      <w:rFonts w:ascii="Arial" w:hAnsi="Arial" w:cs="Arial"/>
    </w:rPr>
  </w:style>
  <w:style w:type="paragraph" w:styleId="a5">
    <w:name w:val="Normal (Web)"/>
    <w:basedOn w:val="a"/>
    <w:unhideWhenUsed/>
    <w:qFormat/>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640</Words>
  <Characters>3654</Characters>
  <Application>Microsoft Office Word</Application>
  <DocSecurity>0</DocSecurity>
  <Lines>30</Lines>
  <Paragraphs>8</Paragraphs>
  <ScaleCrop>false</ScaleCrop>
  <Company>微软中国</Company>
  <LinksUpToDate>false</LinksUpToDate>
  <CharactersWithSpaces>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张思坤</cp:lastModifiedBy>
  <cp:revision>7</cp:revision>
  <cp:lastPrinted>2021-08-02T06:58:00Z</cp:lastPrinted>
  <dcterms:created xsi:type="dcterms:W3CDTF">2020-06-29T00:12:00Z</dcterms:created>
  <dcterms:modified xsi:type="dcterms:W3CDTF">2021-09-13T01:55:00Z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D2F613AB873748478DEEDF0A4A426ACF</vt:lpwstr>
  </property>
</Properties>
</file>