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BC8EE">
      <w:pPr>
        <w:keepNext w:val="0"/>
        <w:keepLines w:val="0"/>
        <w:pageBreakBefore w:val="0"/>
        <w:widowControl w:val="0"/>
        <w:kinsoku/>
        <w:wordWrap/>
        <w:overflowPunct/>
        <w:topLinePunct w:val="0"/>
        <w:autoSpaceDE/>
        <w:autoSpaceDN/>
        <w:bidi w:val="0"/>
        <w:adjustRightInd w:val="0"/>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1DAA258">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eastAsia" w:ascii="Times New Roman" w:hAnsi="Times New Roman" w:eastAsia="方正小标宋简体" w:cs="Times New Roman"/>
          <w:lang w:eastAsia="zh-CN"/>
        </w:rPr>
      </w:pPr>
      <w:bookmarkStart w:id="0" w:name="_GoBack"/>
      <w:r>
        <w:rPr>
          <w:rFonts w:hint="eastAsia" w:ascii="Times New Roman" w:hAnsi="Times New Roman" w:eastAsia="方正小标宋简体" w:cs="Times New Roman"/>
          <w:sz w:val="44"/>
          <w:szCs w:val="44"/>
          <w:lang w:val="en-US" w:eastAsia="zh-CN"/>
        </w:rPr>
        <w:t>淮北市供销社</w:t>
      </w:r>
      <w:r>
        <w:rPr>
          <w:rFonts w:hint="default" w:ascii="Times New Roman" w:hAnsi="Times New Roman" w:eastAsia="方正小标宋简体" w:cs="Times New Roman"/>
          <w:sz w:val="44"/>
          <w:szCs w:val="44"/>
          <w:lang w:val="en-US" w:eastAsia="zh-CN"/>
        </w:rPr>
        <w:t>公共服务</w:t>
      </w:r>
      <w:r>
        <w:rPr>
          <w:rFonts w:hint="default" w:ascii="Times New Roman" w:hAnsi="Times New Roman" w:eastAsia="方正小标宋简体" w:cs="Times New Roman"/>
          <w:sz w:val="44"/>
          <w:szCs w:val="44"/>
        </w:rPr>
        <w:t>清单</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2025年版</w:t>
      </w:r>
      <w:r>
        <w:rPr>
          <w:rFonts w:hint="eastAsia" w:ascii="Times New Roman" w:hAnsi="Times New Roman" w:eastAsia="方正小标宋简体" w:cs="Times New Roman"/>
          <w:sz w:val="44"/>
          <w:szCs w:val="44"/>
          <w:lang w:eastAsia="zh-CN"/>
        </w:rPr>
        <w:t>）</w:t>
      </w:r>
      <w:bookmarkEnd w:id="0"/>
    </w:p>
    <w:tbl>
      <w:tblPr>
        <w:tblStyle w:val="8"/>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741"/>
        <w:gridCol w:w="7616"/>
        <w:gridCol w:w="1680"/>
        <w:gridCol w:w="1072"/>
      </w:tblGrid>
      <w:tr w14:paraId="254E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211" w:type="dxa"/>
            <w:vAlign w:val="center"/>
          </w:tcPr>
          <w:p w14:paraId="4DBD842B">
            <w:pPr>
              <w:keepNext w:val="0"/>
              <w:keepLines w:val="0"/>
              <w:widowControl/>
              <w:suppressLineNumbers w:val="0"/>
              <w:jc w:val="center"/>
              <w:textAlignment w:val="center"/>
              <w:rPr>
                <w:rFonts w:hint="default" w:ascii="Times New Roman" w:hAnsi="Times New Roman" w:eastAsia="仿宋_GB2312" w:cs="Times New Roman"/>
                <w:color w:val="0000FF"/>
                <w:sz w:val="32"/>
                <w:szCs w:val="32"/>
                <w:vertAlign w:val="baseli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741" w:type="dxa"/>
            <w:vAlign w:val="center"/>
          </w:tcPr>
          <w:p w14:paraId="24BF8474">
            <w:pPr>
              <w:keepNext w:val="0"/>
              <w:keepLines w:val="0"/>
              <w:widowControl/>
              <w:suppressLineNumbers w:val="0"/>
              <w:jc w:val="center"/>
              <w:textAlignment w:val="center"/>
              <w:rPr>
                <w:rFonts w:hint="default" w:ascii="Times New Roman" w:hAnsi="Times New Roman" w:eastAsia="仿宋_GB2312" w:cs="Times New Roman"/>
                <w:color w:val="0000FF"/>
                <w:sz w:val="32"/>
                <w:szCs w:val="32"/>
                <w:vertAlign w:val="baseline"/>
              </w:rPr>
            </w:pPr>
            <w:r>
              <w:rPr>
                <w:rFonts w:hint="default" w:ascii="Times New Roman" w:hAnsi="Times New Roman" w:eastAsia="黑体" w:cs="Times New Roman"/>
                <w:i w:val="0"/>
                <w:iCs w:val="0"/>
                <w:color w:val="000000"/>
                <w:kern w:val="0"/>
                <w:sz w:val="24"/>
                <w:szCs w:val="24"/>
                <w:u w:val="none"/>
                <w:lang w:val="en-US" w:eastAsia="zh-CN" w:bidi="ar"/>
              </w:rPr>
              <w:t>事项名称</w:t>
            </w:r>
          </w:p>
        </w:tc>
        <w:tc>
          <w:tcPr>
            <w:tcW w:w="7616" w:type="dxa"/>
            <w:vAlign w:val="center"/>
          </w:tcPr>
          <w:p w14:paraId="07A42150">
            <w:pPr>
              <w:keepNext w:val="0"/>
              <w:keepLines w:val="0"/>
              <w:widowControl/>
              <w:suppressLineNumbers w:val="0"/>
              <w:jc w:val="center"/>
              <w:textAlignment w:val="center"/>
              <w:rPr>
                <w:rFonts w:hint="default" w:ascii="Times New Roman" w:hAnsi="Times New Roman" w:eastAsia="仿宋_GB2312" w:cs="Times New Roman"/>
                <w:color w:val="0000FF"/>
                <w:sz w:val="32"/>
                <w:szCs w:val="32"/>
                <w:vertAlign w:val="baseline"/>
              </w:rPr>
            </w:pPr>
            <w:r>
              <w:rPr>
                <w:rFonts w:hint="default" w:ascii="Times New Roman" w:hAnsi="Times New Roman" w:eastAsia="黑体" w:cs="Times New Roman"/>
                <w:i w:val="0"/>
                <w:iCs w:val="0"/>
                <w:color w:val="000000"/>
                <w:kern w:val="0"/>
                <w:sz w:val="24"/>
                <w:szCs w:val="24"/>
                <w:u w:val="none"/>
                <w:lang w:val="en-US" w:eastAsia="zh-CN" w:bidi="ar"/>
              </w:rPr>
              <w:t>办理依据</w:t>
            </w:r>
          </w:p>
        </w:tc>
        <w:tc>
          <w:tcPr>
            <w:tcW w:w="1680" w:type="dxa"/>
            <w:vAlign w:val="center"/>
          </w:tcPr>
          <w:p w14:paraId="06A52333">
            <w:pPr>
              <w:keepNext w:val="0"/>
              <w:keepLines w:val="0"/>
              <w:widowControl/>
              <w:suppressLineNumbers w:val="0"/>
              <w:jc w:val="center"/>
              <w:textAlignment w:val="center"/>
              <w:rPr>
                <w:rFonts w:hint="default" w:ascii="Times New Roman" w:hAnsi="Times New Roman" w:eastAsia="仿宋_GB2312" w:cs="Times New Roman"/>
                <w:color w:val="0000FF"/>
                <w:sz w:val="32"/>
                <w:szCs w:val="32"/>
                <w:vertAlign w:val="baseline"/>
              </w:rPr>
            </w:pPr>
            <w:r>
              <w:rPr>
                <w:rFonts w:hint="default" w:ascii="Times New Roman" w:hAnsi="Times New Roman" w:eastAsia="黑体" w:cs="Times New Roman"/>
                <w:i w:val="0"/>
                <w:iCs w:val="0"/>
                <w:color w:val="000000"/>
                <w:kern w:val="0"/>
                <w:sz w:val="24"/>
                <w:szCs w:val="24"/>
                <w:u w:val="none"/>
                <w:lang w:val="en-US" w:eastAsia="zh-CN" w:bidi="ar"/>
              </w:rPr>
              <w:t>实施机构</w:t>
            </w:r>
          </w:p>
        </w:tc>
        <w:tc>
          <w:tcPr>
            <w:tcW w:w="1072" w:type="dxa"/>
            <w:vAlign w:val="center"/>
          </w:tcPr>
          <w:p w14:paraId="6412923A">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备注</w:t>
            </w:r>
          </w:p>
        </w:tc>
      </w:tr>
      <w:tr w14:paraId="24E4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11" w:type="dxa"/>
            <w:vAlign w:val="center"/>
          </w:tcPr>
          <w:p w14:paraId="0801656F">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1741" w:type="dxa"/>
            <w:vAlign w:val="center"/>
          </w:tcPr>
          <w:p w14:paraId="18AF8BEA">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i w:val="0"/>
                <w:iCs w:val="0"/>
                <w:caps w:val="0"/>
                <w:color w:val="auto"/>
                <w:spacing w:val="0"/>
                <w:sz w:val="28"/>
                <w:szCs w:val="28"/>
                <w:shd w:val="clear" w:fill="FFFFFF"/>
              </w:rPr>
              <w:t>培育发展</w:t>
            </w:r>
            <w:r>
              <w:rPr>
                <w:rFonts w:hint="eastAsia" w:ascii="仿宋_GB2312" w:hAnsi="仿宋_GB2312" w:eastAsia="仿宋_GB2312" w:cs="仿宋_GB2312"/>
                <w:i w:val="0"/>
                <w:iCs w:val="0"/>
                <w:caps w:val="0"/>
                <w:color w:val="auto"/>
                <w:spacing w:val="0"/>
                <w:sz w:val="28"/>
                <w:szCs w:val="28"/>
                <w:shd w:val="clear" w:fill="FFFFFF"/>
              </w:rPr>
              <w:br w:type="textWrapping"/>
            </w:r>
            <w:r>
              <w:rPr>
                <w:rFonts w:hint="eastAsia" w:ascii="仿宋_GB2312" w:hAnsi="仿宋_GB2312" w:eastAsia="仿宋_GB2312" w:cs="仿宋_GB2312"/>
                <w:i w:val="0"/>
                <w:iCs w:val="0"/>
                <w:caps w:val="0"/>
                <w:color w:val="auto"/>
                <w:spacing w:val="0"/>
                <w:sz w:val="28"/>
                <w:szCs w:val="28"/>
                <w:shd w:val="clear" w:fill="FFFFFF"/>
              </w:rPr>
              <w:t>电子商务</w:t>
            </w:r>
          </w:p>
        </w:tc>
        <w:tc>
          <w:tcPr>
            <w:tcW w:w="7616" w:type="dxa"/>
          </w:tcPr>
          <w:p w14:paraId="380E5404">
            <w:pPr>
              <w:keepNext w:val="0"/>
              <w:keepLines w:val="0"/>
              <w:pageBreakBefore w:val="0"/>
              <w:widowControl w:val="0"/>
              <w:numPr>
                <w:ilvl w:val="0"/>
                <w:numId w:val="0"/>
              </w:numPr>
              <w:kinsoku/>
              <w:wordWrap/>
              <w:overflowPunct/>
              <w:topLinePunct w:val="0"/>
              <w:autoSpaceDE/>
              <w:autoSpaceDN/>
              <w:bidi w:val="0"/>
              <w:adjustRightInd w:val="0"/>
              <w:snapToGrid/>
              <w:spacing w:line="340" w:lineRule="exact"/>
              <w:ind w:leftChars="0" w:firstLine="420" w:firstLineChars="200"/>
              <w:jc w:val="left"/>
              <w:textAlignment w:val="auto"/>
              <w:rPr>
                <w:rFonts w:hint="eastAsia" w:ascii="仿宋_GB2312" w:hAnsi="仿宋_GB2312" w:eastAsia="仿宋_GB2312" w:cs="仿宋_GB2312"/>
                <w:i w:val="0"/>
                <w:iCs w:val="0"/>
                <w:caps w:val="0"/>
                <w:color w:val="auto"/>
                <w:spacing w:val="0"/>
                <w:kern w:val="2"/>
                <w:sz w:val="21"/>
                <w:szCs w:val="21"/>
                <w:shd w:val="clear" w:fill="FFFFFF"/>
                <w:lang w:val="en-US" w:eastAsia="zh-CN" w:bidi="ar-SA"/>
              </w:rPr>
            </w:pPr>
            <w:r>
              <w:rPr>
                <w:rFonts w:hint="eastAsia" w:ascii="仿宋_GB2312" w:hAnsi="仿宋_GB2312" w:eastAsia="仿宋_GB2312" w:cs="仿宋_GB2312"/>
                <w:i w:val="0"/>
                <w:iCs w:val="0"/>
                <w:caps w:val="0"/>
                <w:color w:val="auto"/>
                <w:spacing w:val="0"/>
                <w:kern w:val="2"/>
                <w:sz w:val="21"/>
                <w:szCs w:val="21"/>
                <w:shd w:val="clear" w:fill="FFFFFF"/>
                <w:lang w:val="en-US" w:eastAsia="zh-CN" w:bidi="ar-SA"/>
              </w:rPr>
              <w:t>1.《安徽省人民政府办公厅 关于持续深化供销合作社综合改革服务乡村振兴的实施方案》（皖政办秘〔2022〕17号）：五、实施创新赋能行动。支持供销合作社培育壮大农村电商主体，推动社有企业数字化、连锁化升级，线上线下融合发展，打造“数字供销”。</w:t>
            </w:r>
          </w:p>
          <w:p w14:paraId="6FB11C96">
            <w:pPr>
              <w:keepNext w:val="0"/>
              <w:keepLines w:val="0"/>
              <w:pageBreakBefore w:val="0"/>
              <w:widowControl w:val="0"/>
              <w:numPr>
                <w:ilvl w:val="0"/>
                <w:numId w:val="0"/>
              </w:numPr>
              <w:kinsoku/>
              <w:wordWrap/>
              <w:overflowPunct/>
              <w:topLinePunct w:val="0"/>
              <w:autoSpaceDE/>
              <w:autoSpaceDN/>
              <w:bidi w:val="0"/>
              <w:adjustRightInd w:val="0"/>
              <w:snapToGrid/>
              <w:spacing w:line="340" w:lineRule="exact"/>
              <w:ind w:leftChars="0" w:firstLine="420" w:firstLineChars="200"/>
              <w:jc w:val="left"/>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i w:val="0"/>
                <w:iCs w:val="0"/>
                <w:caps w:val="0"/>
                <w:color w:val="auto"/>
                <w:spacing w:val="0"/>
                <w:kern w:val="2"/>
                <w:sz w:val="21"/>
                <w:szCs w:val="21"/>
                <w:shd w:val="clear" w:fill="FFFFFF"/>
                <w:lang w:val="en-US" w:eastAsia="zh-CN" w:bidi="ar-SA"/>
              </w:rPr>
              <w:t>2.《安徽省深化农村电商高质量发展行动方案（2024-2027）》（皖商办建函〔2024〕101号）：主要任务 （一）市场主体壮大行动。3.推动传统商贸转型升级。（二）产业集聚提升行动。5.完善农村电商供应链体系。（四）电商活动创新行动。11.开展线上线下促销活动。14.提高农村物流集约化能力。</w:t>
            </w:r>
            <w:r>
              <w:rPr>
                <w:rFonts w:hint="eastAsia" w:ascii="仿宋_GB2312" w:hAnsi="仿宋_GB2312" w:eastAsia="仿宋_GB2312" w:cs="仿宋_GB2312"/>
                <w:i w:val="0"/>
                <w:iCs w:val="0"/>
                <w:caps w:val="0"/>
                <w:color w:val="auto"/>
                <w:spacing w:val="0"/>
                <w:sz w:val="21"/>
                <w:szCs w:val="21"/>
                <w:shd w:val="clear" w:fill="FFFFFF"/>
              </w:rPr>
              <w:t>5.《淮北市人民政府办公室关于印发淮北市供销合作社联合社综合改革实施方案的通知》（淮政办秘〔2016〕47号）二、改革重点 （一）在经营服务领域方面寻求新突破  5.大力发展电子商务。</w:t>
            </w:r>
          </w:p>
        </w:tc>
        <w:tc>
          <w:tcPr>
            <w:tcW w:w="1680" w:type="dxa"/>
            <w:vAlign w:val="center"/>
          </w:tcPr>
          <w:p w14:paraId="595AEACF">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i w:val="0"/>
                <w:iCs w:val="0"/>
                <w:caps w:val="0"/>
                <w:color w:val="auto"/>
                <w:spacing w:val="0"/>
                <w:sz w:val="28"/>
                <w:szCs w:val="28"/>
                <w:shd w:val="clear" w:fill="FFFFFF"/>
              </w:rPr>
              <w:t>综合业务科</w:t>
            </w:r>
          </w:p>
        </w:tc>
        <w:tc>
          <w:tcPr>
            <w:tcW w:w="1072" w:type="dxa"/>
          </w:tcPr>
          <w:p w14:paraId="23C1C58F">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default" w:ascii="Times New Roman" w:hAnsi="Times New Roman" w:eastAsia="仿宋_GB2312" w:cs="Times New Roman"/>
                <w:color w:val="0000FF"/>
                <w:sz w:val="32"/>
                <w:szCs w:val="32"/>
                <w:vertAlign w:val="baseline"/>
              </w:rPr>
            </w:pPr>
          </w:p>
        </w:tc>
      </w:tr>
      <w:tr w14:paraId="0FF9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11" w:type="dxa"/>
            <w:vAlign w:val="center"/>
          </w:tcPr>
          <w:p w14:paraId="3CD063C7">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1741" w:type="dxa"/>
            <w:vAlign w:val="center"/>
          </w:tcPr>
          <w:p w14:paraId="3EBAC5CC">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i w:val="0"/>
                <w:iCs w:val="0"/>
                <w:caps w:val="0"/>
                <w:color w:val="auto"/>
                <w:spacing w:val="0"/>
                <w:sz w:val="28"/>
                <w:szCs w:val="28"/>
                <w:shd w:val="clear" w:fill="FFFFFF"/>
              </w:rPr>
              <w:t>企业人才</w:t>
            </w:r>
            <w:r>
              <w:rPr>
                <w:rFonts w:hint="eastAsia" w:ascii="仿宋_GB2312" w:hAnsi="仿宋_GB2312" w:eastAsia="仿宋_GB2312" w:cs="仿宋_GB2312"/>
                <w:i w:val="0"/>
                <w:iCs w:val="0"/>
                <w:caps w:val="0"/>
                <w:color w:val="auto"/>
                <w:spacing w:val="0"/>
                <w:sz w:val="28"/>
                <w:szCs w:val="28"/>
                <w:shd w:val="clear" w:fill="FFFFFF"/>
              </w:rPr>
              <w:br w:type="textWrapping"/>
            </w:r>
            <w:r>
              <w:rPr>
                <w:rFonts w:hint="eastAsia" w:ascii="仿宋_GB2312" w:hAnsi="仿宋_GB2312" w:eastAsia="仿宋_GB2312" w:cs="仿宋_GB2312"/>
                <w:i w:val="0"/>
                <w:iCs w:val="0"/>
                <w:caps w:val="0"/>
                <w:color w:val="auto"/>
                <w:spacing w:val="0"/>
                <w:sz w:val="28"/>
                <w:szCs w:val="28"/>
                <w:shd w:val="clear" w:fill="FFFFFF"/>
              </w:rPr>
              <w:t>培训服务</w:t>
            </w:r>
          </w:p>
        </w:tc>
        <w:tc>
          <w:tcPr>
            <w:tcW w:w="7616" w:type="dxa"/>
          </w:tcPr>
          <w:p w14:paraId="2FCA7B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 xml:space="preserve">1.《中华全国供销合作总社章程》第十一条：（八）指导供销合作社系统文化建设，提供信息服务，开展教育培训；第三十九条：总社举办科技教育、文化宣传、技术推广等事业单位，提升供销合作社自主创新能力，培育各类经营管理人员和技能型人才，为供销合作事业发展提供科技、信息和人才支撑。                                          </w:t>
            </w:r>
          </w:p>
          <w:p w14:paraId="1E57CE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 xml:space="preserve">2.《安徽省供销合作社联合社章程》第三十八条：省供销社所属事业单位，要深化改革，加强管理，加快发展，为全省供销合作社事业发展提供人才、科技和信息等支撑。 </w:t>
            </w:r>
          </w:p>
          <w:p w14:paraId="7740E0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3.《中共安徽省委 安徽省人民政府关于深化供销合作社综合改革的实施意见》（皖发〔2015〕25号）：五、深化社有企业改革，健全经营服务体系。20、加强供销合作社自身建设。要强化人才队伍建设，大力引进和培养各类经营管理与专业技术人才，着力培养一批懂市场、会管理的优秀企业家，造就一支对农民群众有感情、对合作事业有热情、对干事创业有激情的高素质干部职工队伍。</w:t>
            </w:r>
          </w:p>
          <w:p w14:paraId="7236AF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4.《安徽省供销合作社联合社“十四五”发展规划纲要》：三、主要改革发展任务。5.深化人事制度改革。采取系统上下联动的方式，形成统筹协调、分级负责、分类培训、共同推进的培训工作格局。落实干部队伍素质提升“5266”培训计划，全面提升系统干部职工的专业素质，为供销社改革发展提供人才支撑，努力培养造就一支忠诚干净担当的高素质专业化干部队伍。</w:t>
            </w:r>
          </w:p>
          <w:p w14:paraId="4E618A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i w:val="0"/>
                <w:iCs w:val="0"/>
                <w:caps w:val="0"/>
                <w:color w:val="auto"/>
                <w:spacing w:val="0"/>
                <w:kern w:val="0"/>
                <w:sz w:val="21"/>
                <w:szCs w:val="21"/>
                <w:lang w:val="en-US" w:eastAsia="zh-CN" w:bidi="ar"/>
              </w:rPr>
              <w:t>5.《淮北市人民政府办公室关于印发淮北市供销合作社联合社综合改革实施方案的通知》（淮政办秘〔2016〕47号）四、组织领导 （三）加强干部队伍人才队伍建设。切实优化供销系统干部队伍建设，培养懂管理、懂经济、懂法律的机关干部队伍。建立公司人才队伍计划，公开、公正的面向社会招聘各类专业技术人才，形成与市场经济、农村工作相匹配的人才队伍建设。</w:t>
            </w:r>
          </w:p>
        </w:tc>
        <w:tc>
          <w:tcPr>
            <w:tcW w:w="1680" w:type="dxa"/>
            <w:vAlign w:val="center"/>
          </w:tcPr>
          <w:p w14:paraId="26826FF3">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人事教育科</w:t>
            </w:r>
          </w:p>
        </w:tc>
        <w:tc>
          <w:tcPr>
            <w:tcW w:w="1072" w:type="dxa"/>
          </w:tcPr>
          <w:p w14:paraId="0BF5AC76">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default" w:ascii="Times New Roman" w:hAnsi="Times New Roman" w:eastAsia="仿宋_GB2312" w:cs="Times New Roman"/>
                <w:color w:val="0000FF"/>
                <w:sz w:val="32"/>
                <w:szCs w:val="32"/>
                <w:vertAlign w:val="baseline"/>
              </w:rPr>
            </w:pPr>
          </w:p>
        </w:tc>
      </w:tr>
      <w:tr w14:paraId="77F0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6" w:hRule="atLeast"/>
          <w:jc w:val="center"/>
        </w:trPr>
        <w:tc>
          <w:tcPr>
            <w:tcW w:w="1211" w:type="dxa"/>
            <w:vAlign w:val="center"/>
          </w:tcPr>
          <w:p w14:paraId="6A189F49">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w:t>
            </w:r>
          </w:p>
        </w:tc>
        <w:tc>
          <w:tcPr>
            <w:tcW w:w="1741" w:type="dxa"/>
            <w:vAlign w:val="center"/>
          </w:tcPr>
          <w:p w14:paraId="7388F6B6">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i w:val="0"/>
                <w:iCs w:val="0"/>
                <w:caps w:val="0"/>
                <w:color w:val="auto"/>
                <w:spacing w:val="0"/>
                <w:sz w:val="28"/>
                <w:szCs w:val="28"/>
                <w:shd w:val="clear" w:fill="FFFFFF"/>
              </w:rPr>
              <w:t>扶持农民专业合作社</w:t>
            </w:r>
          </w:p>
        </w:tc>
        <w:tc>
          <w:tcPr>
            <w:tcW w:w="7616" w:type="dxa"/>
          </w:tcPr>
          <w:p w14:paraId="1F6355F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《中共中央</w:t>
            </w:r>
            <w:r>
              <w:rPr>
                <w:rFonts w:hint="eastAsia" w:ascii="仿宋_GB2312" w:hAnsi="仿宋_GB2312" w:eastAsia="仿宋_GB2312" w:cs="仿宋_GB2312"/>
                <w:sz w:val="21"/>
                <w:szCs w:val="21"/>
                <w:lang w:val="en-US" w:eastAsia="zh-CN"/>
              </w:rPr>
              <w:t xml:space="preserve"> 国务院关于深化供销合作社综合改革的决定</w:t>
            </w:r>
            <w:r>
              <w:rPr>
                <w:rFonts w:hint="eastAsia" w:ascii="仿宋_GB2312" w:hAnsi="仿宋_GB2312" w:eastAsia="仿宋_GB2312" w:cs="仿宋_GB2312"/>
                <w:sz w:val="21"/>
                <w:szCs w:val="21"/>
                <w:lang w:eastAsia="zh-CN"/>
              </w:rPr>
              <w:t>》（中发〔</w:t>
            </w:r>
            <w:r>
              <w:rPr>
                <w:rFonts w:hint="eastAsia" w:ascii="仿宋_GB2312" w:hAnsi="仿宋_GB2312" w:eastAsia="仿宋_GB2312" w:cs="仿宋_GB2312"/>
                <w:sz w:val="21"/>
                <w:szCs w:val="21"/>
                <w:lang w:val="en-US" w:eastAsia="zh-CN"/>
              </w:rPr>
              <w:t>2015</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11号</w:t>
            </w:r>
            <w:r>
              <w:rPr>
                <w:rFonts w:hint="eastAsia" w:ascii="仿宋_GB2312" w:hAnsi="仿宋_GB2312" w:eastAsia="仿宋_GB2312" w:cs="仿宋_GB2312"/>
                <w:sz w:val="21"/>
                <w:szCs w:val="21"/>
                <w:lang w:eastAsia="zh-CN"/>
              </w:rPr>
              <w:t>）三、推进供销合作社基层社改造，密切与农民的利益联结（十）</w:t>
            </w:r>
            <w:r>
              <w:rPr>
                <w:rFonts w:hint="eastAsia" w:ascii="仿宋_GB2312" w:hAnsi="仿宋_GB2312" w:eastAsia="仿宋_GB2312" w:cs="仿宋_GB2312"/>
                <w:b w:val="0"/>
                <w:bCs w:val="0"/>
                <w:sz w:val="21"/>
                <w:szCs w:val="21"/>
              </w:rPr>
              <w:t>领办创办农民专业合作社。通过共同出资、共创品牌、共享利</w:t>
            </w:r>
            <w:r>
              <w:rPr>
                <w:rFonts w:hint="eastAsia" w:ascii="仿宋_GB2312" w:hAnsi="仿宋_GB2312" w:eastAsia="仿宋_GB2312" w:cs="仿宋_GB2312"/>
                <w:sz w:val="21"/>
                <w:szCs w:val="21"/>
              </w:rPr>
              <w:t>益等方式，创办一批管理民主、制度健全、产权清晰、带动力强的农民专业合作社。在自愿的前提下，引导发展农民专业合作社联合社，充分发挥供销合作社综合服务平台作用，带动农民专业合作社围绕当地优势产业开展系列化服务。</w:t>
            </w:r>
          </w:p>
          <w:p w14:paraId="4CE7ADD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eastAsia="zh-CN"/>
              </w:rPr>
              <w:t>《安徽省人民政府办公厅关于印发持续深化供销合作社综合改革服务乡村振兴的实施方案》（皖政办秘〔</w:t>
            </w:r>
            <w:r>
              <w:rPr>
                <w:rFonts w:hint="eastAsia" w:ascii="仿宋_GB2312" w:hAnsi="仿宋_GB2312" w:eastAsia="仿宋_GB2312" w:cs="仿宋_GB2312"/>
                <w:sz w:val="21"/>
                <w:szCs w:val="21"/>
                <w:lang w:val="en-US" w:eastAsia="zh-CN"/>
              </w:rPr>
              <w:t>2022</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17号</w:t>
            </w:r>
            <w:r>
              <w:rPr>
                <w:rFonts w:hint="eastAsia" w:ascii="仿宋_GB2312" w:hAnsi="仿宋_GB2312" w:eastAsia="仿宋_GB2312" w:cs="仿宋_GB2312"/>
                <w:sz w:val="21"/>
                <w:szCs w:val="21"/>
                <w:lang w:eastAsia="zh-CN"/>
              </w:rPr>
              <w:t>）三、实施合作带动行动（五）积极引领农村合作经济组织发展。发展壮大县级供销合作社、基层供销合作社、农民专业合作社、农村综合服务社等基层主体，构建县级供销合作社引领、社有企业与基层供销合作的相互支撑，各类经营服务网点联动协作的基层组织体系。</w:t>
            </w:r>
          </w:p>
        </w:tc>
        <w:tc>
          <w:tcPr>
            <w:tcW w:w="1680" w:type="dxa"/>
            <w:vAlign w:val="center"/>
          </w:tcPr>
          <w:p w14:paraId="0CBD0F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合作经济</w:t>
            </w:r>
          </w:p>
          <w:p w14:paraId="0A6D16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指导科</w:t>
            </w:r>
          </w:p>
          <w:p w14:paraId="182ADED0">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eastAsia" w:ascii="仿宋_GB2312" w:hAnsi="仿宋_GB2312" w:eastAsia="仿宋_GB2312" w:cs="仿宋_GB2312"/>
                <w:color w:val="auto"/>
                <w:sz w:val="28"/>
                <w:szCs w:val="28"/>
                <w:vertAlign w:val="baseline"/>
              </w:rPr>
            </w:pPr>
          </w:p>
        </w:tc>
        <w:tc>
          <w:tcPr>
            <w:tcW w:w="1072" w:type="dxa"/>
          </w:tcPr>
          <w:p w14:paraId="7C0FCBBD">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default" w:ascii="Times New Roman" w:hAnsi="Times New Roman" w:eastAsia="仿宋_GB2312" w:cs="Times New Roman"/>
                <w:color w:val="0000FF"/>
                <w:sz w:val="32"/>
                <w:szCs w:val="32"/>
                <w:vertAlign w:val="baseline"/>
              </w:rPr>
            </w:pPr>
          </w:p>
        </w:tc>
      </w:tr>
    </w:tbl>
    <w:p w14:paraId="06937B33">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仿宋_GB2312" w:cs="Times New Roman"/>
          <w:color w:val="0000FF"/>
          <w:sz w:val="32"/>
          <w:szCs w:val="32"/>
        </w:rPr>
        <w:sectPr>
          <w:footerReference r:id="rId3" w:type="default"/>
          <w:pgSz w:w="16838" w:h="11906" w:orient="landscape"/>
          <w:pgMar w:top="1387" w:right="2154" w:bottom="1474" w:left="1871" w:header="851" w:footer="992" w:gutter="0"/>
          <w:pgNumType w:fmt="numberInDash"/>
          <w:cols w:space="425" w:num="1"/>
          <w:docGrid w:type="lines" w:linePitch="312" w:charSpace="0"/>
        </w:sectPr>
      </w:pPr>
    </w:p>
    <w:p w14:paraId="5EC5E499"/>
    <w:sectPr>
      <w:headerReference r:id="rId4" w:type="default"/>
      <w:footerReference r:id="rId5" w:type="default"/>
      <w:pgSz w:w="11906" w:h="16838"/>
      <w:pgMar w:top="2154"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709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76F8A">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30777">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214E0"/>
    <w:rsid w:val="52706112"/>
    <w:rsid w:val="5E5A6472"/>
    <w:rsid w:val="6C286B9C"/>
    <w:rsid w:val="6E8214E0"/>
    <w:rsid w:val="6F333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rPr>
  </w:style>
  <w:style w:type="paragraph" w:styleId="3">
    <w:name w:val="heading 2"/>
    <w:basedOn w:val="1"/>
    <w:qFormat/>
    <w:uiPriority w:val="0"/>
    <w:pPr>
      <w:widowControl/>
      <w:spacing w:before="100" w:beforeAutospacing="1" w:after="100" w:afterAutospacing="1" w:line="500" w:lineRule="exact"/>
      <w:ind w:firstLine="0" w:firstLineChars="0"/>
      <w:jc w:val="center"/>
      <w:outlineLvl w:val="1"/>
    </w:pPr>
    <w:rPr>
      <w:rFonts w:ascii="宋体" w:hAnsi="宋体"/>
      <w:b/>
      <w:kern w:val="0"/>
      <w:sz w:val="32"/>
      <w:szCs w:val="20"/>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仿宋正文"/>
    <w:basedOn w:val="1"/>
    <w:qFormat/>
    <w:uiPriority w:val="0"/>
    <w:pPr>
      <w:spacing w:line="600" w:lineRule="exact"/>
      <w:ind w:firstLine="643" w:firstLineChars="200"/>
    </w:pPr>
    <w:rPr>
      <w:rFonts w:ascii="宋体" w:hAnsi="宋体" w:eastAsia="方正仿宋_GBK"/>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516</Words>
  <Characters>571</Characters>
  <Lines>0</Lines>
  <Paragraphs>0</Paragraphs>
  <TotalTime>8</TotalTime>
  <ScaleCrop>false</ScaleCrop>
  <LinksUpToDate>false</LinksUpToDate>
  <CharactersWithSpaces>599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2026-03-13T09:03:00Z</dcterms:created>
  <dc:creator>王浩波</dc:creator>
  <cp:lastModifiedBy>张思坤</cp:lastModifiedBy>
  <dcterms:modified xsi:type="dcterms:W3CDTF">2026-03-25T01:03:35Z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FA92B9A4EB9A4D919135AF1C536967E5_13</vt:lpwstr>
  </property>
  <property fmtid="{D5CDD505-2E9C-101B-9397-08002B2CF9AE}" pid="4" name="KSOTemplateDocerSaveRecord">
    <vt:lpwstr>eyJoZGlkIjoiZGY2ZGE1YWYyMTk4OTU0NTI4YTIxM2FhZTM0OWZmYmYifQ==</vt:lpwstr>
  </property>
</Properties>
</file>