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B10FC">
      <w:pPr>
        <w:jc w:val="center"/>
        <w:rPr>
          <w:rFonts w:ascii="宋体" w:hAnsi="宋体"/>
          <w:b/>
          <w:sz w:val="36"/>
          <w:szCs w:val="36"/>
        </w:rPr>
      </w:pPr>
      <w:r>
        <w:rPr>
          <w:rFonts w:hint="eastAsia" w:ascii="宋体" w:hAnsi="宋体"/>
          <w:b/>
          <w:sz w:val="36"/>
          <w:szCs w:val="36"/>
        </w:rPr>
        <w:t>淮北市供销社</w:t>
      </w:r>
      <w:r>
        <w:rPr>
          <w:rFonts w:ascii="宋体" w:hAnsi="宋体"/>
          <w:b/>
          <w:sz w:val="36"/>
          <w:szCs w:val="36"/>
        </w:rPr>
        <w:t>20</w:t>
      </w:r>
      <w:r>
        <w:rPr>
          <w:rFonts w:hint="eastAsia" w:ascii="宋体" w:hAnsi="宋体"/>
          <w:b/>
          <w:sz w:val="36"/>
          <w:szCs w:val="36"/>
        </w:rPr>
        <w:t>21</w:t>
      </w:r>
      <w:r>
        <w:rPr>
          <w:rFonts w:ascii="宋体" w:hAnsi="宋体"/>
          <w:b/>
          <w:sz w:val="36"/>
          <w:szCs w:val="36"/>
        </w:rPr>
        <w:t>年</w:t>
      </w:r>
      <w:r>
        <w:rPr>
          <w:rFonts w:hint="eastAsia" w:ascii="宋体" w:hAnsi="宋体"/>
          <w:b/>
          <w:sz w:val="36"/>
          <w:szCs w:val="36"/>
        </w:rPr>
        <w:t>度一般公共预算财政</w:t>
      </w:r>
    </w:p>
    <w:p w14:paraId="086A5869">
      <w:pPr>
        <w:jc w:val="center"/>
        <w:rPr>
          <w:rFonts w:ascii="宋体" w:hAnsi="宋体"/>
          <w:b/>
          <w:sz w:val="36"/>
          <w:szCs w:val="36"/>
        </w:rPr>
      </w:pPr>
      <w:r>
        <w:rPr>
          <w:rFonts w:hint="eastAsia" w:ascii="宋体" w:hAnsi="宋体"/>
          <w:b/>
          <w:sz w:val="36"/>
          <w:szCs w:val="36"/>
        </w:rPr>
        <w:t>拨款</w:t>
      </w:r>
      <w:r>
        <w:rPr>
          <w:rFonts w:ascii="宋体" w:hAnsi="宋体"/>
          <w:b/>
          <w:sz w:val="36"/>
          <w:szCs w:val="36"/>
        </w:rPr>
        <w:t>“三公</w:t>
      </w:r>
      <w:r>
        <w:rPr>
          <w:rFonts w:hint="eastAsia" w:ascii="宋体" w:hAnsi="宋体"/>
          <w:b/>
          <w:sz w:val="36"/>
          <w:szCs w:val="36"/>
        </w:rPr>
        <w:t>”</w:t>
      </w:r>
      <w:r>
        <w:rPr>
          <w:rFonts w:ascii="宋体" w:hAnsi="宋体"/>
          <w:b/>
          <w:sz w:val="36"/>
          <w:szCs w:val="36"/>
        </w:rPr>
        <w:t>经费</w:t>
      </w:r>
      <w:r>
        <w:rPr>
          <w:rFonts w:hint="eastAsia" w:ascii="宋体" w:hAnsi="宋体"/>
          <w:b/>
          <w:sz w:val="36"/>
          <w:szCs w:val="36"/>
        </w:rPr>
        <w:t>支出决算情况说明</w:t>
      </w:r>
    </w:p>
    <w:p w14:paraId="46EF497C">
      <w:pPr>
        <w:jc w:val="center"/>
        <w:rPr>
          <w:rFonts w:ascii="楷体_GB2312" w:eastAsia="楷体_GB2312"/>
          <w:szCs w:val="32"/>
        </w:rPr>
      </w:pPr>
    </w:p>
    <w:p w14:paraId="46C5FB3C">
      <w:pPr>
        <w:adjustRightInd w:val="0"/>
        <w:snapToGrid w:val="0"/>
        <w:spacing w:line="360" w:lineRule="auto"/>
        <w:jc w:val="center"/>
        <w:rPr>
          <w:rFonts w:ascii="宋体" w:hAnsi="宋体"/>
          <w:sz w:val="6"/>
          <w:szCs w:val="32"/>
        </w:rPr>
      </w:pPr>
    </w:p>
    <w:p w14:paraId="5F98510A">
      <w:pPr>
        <w:rPr>
          <w:rFonts w:ascii="黑体" w:hAnsi="黑体" w:eastAsia="黑体"/>
          <w:szCs w:val="32"/>
        </w:rPr>
      </w:pPr>
      <w:r>
        <w:rPr>
          <w:rFonts w:hint="eastAsia" w:ascii="黑体" w:hAnsi="黑体" w:eastAsia="黑体"/>
          <w:szCs w:val="32"/>
        </w:rPr>
        <w:t>一、2021年度一般公共预算财政拨款“三公”经费支出决算表</w:t>
      </w:r>
    </w:p>
    <w:p w14:paraId="16AFE3B9">
      <w:pPr>
        <w:ind w:firstLine="6720" w:firstLineChars="2100"/>
        <w:rPr>
          <w:rFonts w:ascii="黑体" w:hAnsi="黑体" w:eastAsia="黑体"/>
          <w:szCs w:val="32"/>
        </w:rPr>
      </w:pPr>
      <w:r>
        <w:rPr>
          <w:rFonts w:hint="eastAsia" w:ascii="仿宋_GB2312" w:hAnsi="仿宋_GB2312" w:cs="仿宋_GB2312"/>
          <w:szCs w:val="32"/>
        </w:rPr>
        <w:t>单位：万元</w:t>
      </w:r>
    </w:p>
    <w:tbl>
      <w:tblPr>
        <w:tblStyle w:val="4"/>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1A763E0F">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24E463BF">
            <w:pPr>
              <w:widowControl/>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3467AFA8">
            <w:pPr>
              <w:widowControl/>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42AD9718">
            <w:pPr>
              <w:widowControl/>
              <w:jc w:val="center"/>
              <w:rPr>
                <w:rFonts w:ascii="宋体" w:hAnsi="宋体" w:cs="宋体"/>
                <w:b/>
                <w:bCs/>
                <w:kern w:val="0"/>
                <w:szCs w:val="21"/>
              </w:rPr>
            </w:pPr>
            <w:r>
              <w:rPr>
                <w:rFonts w:hint="eastAsia" w:ascii="宋体" w:hAnsi="宋体" w:cs="宋体"/>
                <w:b/>
                <w:bCs/>
                <w:kern w:val="0"/>
                <w:szCs w:val="21"/>
              </w:rPr>
              <w:t>决 算 数</w:t>
            </w:r>
          </w:p>
        </w:tc>
      </w:tr>
      <w:tr w14:paraId="4CBF8B6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EFEE76D">
            <w:pPr>
              <w:widowControl/>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4A7C0410">
            <w:pPr>
              <w:widowControl/>
              <w:jc w:val="center"/>
              <w:rPr>
                <w:rFonts w:ascii="宋体" w:hAnsi="宋体" w:cs="宋体"/>
                <w:b/>
                <w:bCs/>
                <w:kern w:val="0"/>
                <w:szCs w:val="21"/>
              </w:rPr>
            </w:pPr>
            <w:r>
              <w:rPr>
                <w:rFonts w:hint="eastAsia" w:ascii="宋体" w:hAnsi="宋体" w:cs="宋体"/>
                <w:b/>
                <w:bCs/>
                <w:kern w:val="0"/>
                <w:szCs w:val="21"/>
              </w:rPr>
              <w:t>1.00　</w:t>
            </w:r>
          </w:p>
        </w:tc>
        <w:tc>
          <w:tcPr>
            <w:tcW w:w="2220" w:type="dxa"/>
            <w:tcBorders>
              <w:top w:val="nil"/>
              <w:left w:val="nil"/>
              <w:bottom w:val="single" w:color="auto" w:sz="4" w:space="0"/>
              <w:right w:val="single" w:color="auto" w:sz="4" w:space="0"/>
            </w:tcBorders>
            <w:vAlign w:val="center"/>
          </w:tcPr>
          <w:p w14:paraId="5071BF90">
            <w:pPr>
              <w:widowControl/>
              <w:jc w:val="center"/>
              <w:rPr>
                <w:rFonts w:ascii="宋体" w:hAnsi="宋体" w:cs="宋体"/>
                <w:b/>
                <w:bCs/>
                <w:kern w:val="0"/>
                <w:szCs w:val="21"/>
              </w:rPr>
            </w:pPr>
            <w:r>
              <w:rPr>
                <w:rFonts w:hint="eastAsia" w:ascii="宋体" w:hAnsi="宋体" w:cs="宋体"/>
                <w:b/>
                <w:bCs/>
                <w:kern w:val="0"/>
                <w:szCs w:val="21"/>
              </w:rPr>
              <w:t>0.56　</w:t>
            </w:r>
          </w:p>
        </w:tc>
      </w:tr>
      <w:tr w14:paraId="7DA3AF2C">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FD02BA7">
            <w:pPr>
              <w:widowControl/>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bottom"/>
          </w:tcPr>
          <w:p w14:paraId="71DC0166">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03F91EF2">
            <w:pPr>
              <w:widowControl/>
              <w:jc w:val="left"/>
              <w:rPr>
                <w:rFonts w:ascii="宋体" w:hAnsi="宋体" w:cs="宋体"/>
                <w:kern w:val="0"/>
                <w:szCs w:val="21"/>
              </w:rPr>
            </w:pPr>
            <w:r>
              <w:rPr>
                <w:rFonts w:hint="eastAsia" w:ascii="宋体" w:hAnsi="宋体" w:cs="宋体"/>
                <w:kern w:val="0"/>
                <w:szCs w:val="21"/>
              </w:rPr>
              <w:t>　</w:t>
            </w:r>
          </w:p>
        </w:tc>
      </w:tr>
      <w:tr w14:paraId="1277339D">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5565DA9">
            <w:pPr>
              <w:widowControl/>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bottom"/>
          </w:tcPr>
          <w:p w14:paraId="4FDC96B0">
            <w:pPr>
              <w:widowControl/>
              <w:jc w:val="center"/>
              <w:rPr>
                <w:rFonts w:ascii="宋体" w:hAnsi="宋体" w:cs="宋体"/>
                <w:kern w:val="0"/>
                <w:szCs w:val="21"/>
              </w:rPr>
            </w:pPr>
            <w:r>
              <w:rPr>
                <w:rFonts w:hint="eastAsia" w:ascii="宋体" w:hAnsi="宋体" w:cs="宋体"/>
                <w:kern w:val="0"/>
                <w:szCs w:val="21"/>
              </w:rPr>
              <w:t>1.00</w:t>
            </w:r>
          </w:p>
        </w:tc>
        <w:tc>
          <w:tcPr>
            <w:tcW w:w="2220" w:type="dxa"/>
            <w:tcBorders>
              <w:top w:val="nil"/>
              <w:left w:val="nil"/>
              <w:bottom w:val="single" w:color="auto" w:sz="4" w:space="0"/>
              <w:right w:val="single" w:color="auto" w:sz="4" w:space="0"/>
            </w:tcBorders>
            <w:vAlign w:val="bottom"/>
          </w:tcPr>
          <w:p w14:paraId="41034FF5">
            <w:pPr>
              <w:widowControl/>
              <w:jc w:val="center"/>
              <w:rPr>
                <w:rFonts w:ascii="宋体" w:hAnsi="宋体" w:cs="宋体"/>
                <w:kern w:val="0"/>
                <w:szCs w:val="21"/>
              </w:rPr>
            </w:pPr>
            <w:r>
              <w:rPr>
                <w:rFonts w:hint="eastAsia" w:ascii="宋体" w:hAnsi="宋体" w:cs="宋体"/>
                <w:kern w:val="0"/>
                <w:szCs w:val="21"/>
              </w:rPr>
              <w:t>0.56</w:t>
            </w:r>
          </w:p>
        </w:tc>
      </w:tr>
      <w:tr w14:paraId="4C0A87BF">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F947F4E">
            <w:pPr>
              <w:widowControl/>
              <w:jc w:val="left"/>
              <w:rPr>
                <w:rFonts w:ascii="宋体" w:hAnsi="宋体" w:cs="宋体"/>
                <w:kern w:val="0"/>
                <w:szCs w:val="21"/>
              </w:rPr>
            </w:pPr>
            <w:r>
              <w:rPr>
                <w:rFonts w:hint="eastAsia" w:ascii="宋体" w:hAnsi="宋体" w:cs="宋体"/>
                <w:kern w:val="0"/>
                <w:szCs w:val="21"/>
              </w:rPr>
              <w:t>公务用车购置及运行维护费</w:t>
            </w:r>
          </w:p>
        </w:tc>
        <w:tc>
          <w:tcPr>
            <w:tcW w:w="2157" w:type="dxa"/>
            <w:tcBorders>
              <w:top w:val="nil"/>
              <w:left w:val="nil"/>
              <w:bottom w:val="single" w:color="auto" w:sz="4" w:space="0"/>
              <w:right w:val="single" w:color="auto" w:sz="4" w:space="0"/>
            </w:tcBorders>
            <w:vAlign w:val="bottom"/>
          </w:tcPr>
          <w:p w14:paraId="44A7F88F">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1DE5E55A">
            <w:pPr>
              <w:widowControl/>
              <w:jc w:val="left"/>
              <w:rPr>
                <w:rFonts w:ascii="宋体" w:hAnsi="宋体" w:cs="宋体"/>
                <w:kern w:val="0"/>
                <w:szCs w:val="21"/>
              </w:rPr>
            </w:pPr>
            <w:r>
              <w:rPr>
                <w:rFonts w:hint="eastAsia" w:ascii="宋体" w:hAnsi="宋体" w:cs="宋体"/>
                <w:kern w:val="0"/>
                <w:szCs w:val="21"/>
              </w:rPr>
              <w:t>　</w:t>
            </w:r>
          </w:p>
        </w:tc>
      </w:tr>
      <w:tr w14:paraId="68817C27">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6D4BE98F">
            <w:pPr>
              <w:widowControl/>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bottom"/>
          </w:tcPr>
          <w:p w14:paraId="23B65DCD">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2095E806">
            <w:pPr>
              <w:widowControl/>
              <w:jc w:val="left"/>
              <w:rPr>
                <w:rFonts w:ascii="宋体" w:hAnsi="宋体" w:cs="宋体"/>
                <w:kern w:val="0"/>
                <w:szCs w:val="21"/>
              </w:rPr>
            </w:pPr>
            <w:r>
              <w:rPr>
                <w:rFonts w:hint="eastAsia" w:ascii="宋体" w:hAnsi="宋体" w:cs="宋体"/>
                <w:kern w:val="0"/>
                <w:szCs w:val="21"/>
              </w:rPr>
              <w:t>　</w:t>
            </w:r>
          </w:p>
        </w:tc>
      </w:tr>
      <w:tr w14:paraId="40A634E3">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483EDDEA">
            <w:pPr>
              <w:widowControl/>
              <w:jc w:val="left"/>
              <w:rPr>
                <w:rFonts w:ascii="宋体" w:hAnsi="宋体" w:cs="宋体"/>
                <w:kern w:val="0"/>
                <w:szCs w:val="21"/>
              </w:rPr>
            </w:pPr>
            <w:r>
              <w:rPr>
                <w:rFonts w:hint="eastAsia" w:ascii="宋体" w:hAnsi="宋体" w:cs="宋体"/>
                <w:kern w:val="0"/>
                <w:szCs w:val="21"/>
              </w:rPr>
              <w:t xml:space="preserve">        公务用车购置费 </w:t>
            </w:r>
          </w:p>
        </w:tc>
        <w:tc>
          <w:tcPr>
            <w:tcW w:w="2157" w:type="dxa"/>
            <w:tcBorders>
              <w:top w:val="nil"/>
              <w:left w:val="nil"/>
              <w:bottom w:val="single" w:color="auto" w:sz="4" w:space="0"/>
              <w:right w:val="single" w:color="auto" w:sz="4" w:space="0"/>
            </w:tcBorders>
            <w:vAlign w:val="bottom"/>
          </w:tcPr>
          <w:p w14:paraId="313F2637">
            <w:pPr>
              <w:widowControl/>
              <w:jc w:val="left"/>
              <w:rPr>
                <w:rFonts w:ascii="宋体" w:hAnsi="宋体" w:cs="宋体"/>
                <w:kern w:val="0"/>
                <w:szCs w:val="21"/>
              </w:rPr>
            </w:pPr>
            <w:r>
              <w:rPr>
                <w:rFonts w:hint="eastAsia" w:ascii="宋体" w:hAnsi="宋体" w:cs="宋体"/>
                <w:kern w:val="0"/>
                <w:szCs w:val="21"/>
              </w:rPr>
              <w:t>　</w:t>
            </w:r>
          </w:p>
        </w:tc>
        <w:tc>
          <w:tcPr>
            <w:tcW w:w="2220" w:type="dxa"/>
            <w:tcBorders>
              <w:top w:val="nil"/>
              <w:left w:val="nil"/>
              <w:bottom w:val="single" w:color="auto" w:sz="4" w:space="0"/>
              <w:right w:val="single" w:color="auto" w:sz="4" w:space="0"/>
            </w:tcBorders>
            <w:vAlign w:val="bottom"/>
          </w:tcPr>
          <w:p w14:paraId="29587333">
            <w:pPr>
              <w:widowControl/>
              <w:jc w:val="left"/>
              <w:rPr>
                <w:rFonts w:ascii="宋体" w:hAnsi="宋体" w:cs="宋体"/>
                <w:kern w:val="0"/>
                <w:szCs w:val="21"/>
              </w:rPr>
            </w:pPr>
            <w:r>
              <w:rPr>
                <w:rFonts w:hint="eastAsia" w:ascii="宋体" w:hAnsi="宋体" w:cs="宋体"/>
                <w:kern w:val="0"/>
                <w:szCs w:val="21"/>
              </w:rPr>
              <w:t>　</w:t>
            </w:r>
          </w:p>
        </w:tc>
      </w:tr>
    </w:tbl>
    <w:p w14:paraId="3F6523FC">
      <w:pPr>
        <w:ind w:firstLine="640" w:firstLineChars="200"/>
        <w:rPr>
          <w:rFonts w:ascii="黑体" w:hAnsi="黑体" w:eastAsia="黑体"/>
          <w:szCs w:val="32"/>
        </w:rPr>
      </w:pPr>
    </w:p>
    <w:p w14:paraId="51DF67F5">
      <w:pPr>
        <w:rPr>
          <w:rFonts w:ascii="黑体" w:hAnsi="黑体" w:eastAsia="黑体"/>
          <w:szCs w:val="32"/>
        </w:rPr>
      </w:pPr>
      <w:r>
        <w:rPr>
          <w:rFonts w:hint="eastAsia" w:ascii="黑体" w:hAnsi="黑体" w:eastAsia="黑体"/>
          <w:szCs w:val="32"/>
        </w:rPr>
        <w:t>二</w:t>
      </w:r>
      <w:r>
        <w:rPr>
          <w:rFonts w:ascii="黑体" w:hAnsi="黑体" w:eastAsia="黑体"/>
          <w:szCs w:val="32"/>
        </w:rPr>
        <w:t>、20</w:t>
      </w:r>
      <w:r>
        <w:rPr>
          <w:rFonts w:hint="eastAsia" w:ascii="黑体" w:hAnsi="黑体" w:eastAsia="黑体"/>
          <w:szCs w:val="32"/>
        </w:rPr>
        <w:t>21</w:t>
      </w:r>
      <w:r>
        <w:rPr>
          <w:rFonts w:ascii="黑体" w:hAnsi="黑体" w:eastAsia="黑体"/>
          <w:szCs w:val="32"/>
        </w:rPr>
        <w:t>年</w:t>
      </w:r>
      <w:r>
        <w:rPr>
          <w:rFonts w:hint="eastAsia" w:ascii="黑体" w:hAnsi="黑体" w:eastAsia="黑体"/>
          <w:szCs w:val="32"/>
        </w:rPr>
        <w:t>度一般公共预算财政拨款“三公”经费支出</w:t>
      </w:r>
      <w:r>
        <w:rPr>
          <w:rFonts w:ascii="黑体" w:hAnsi="黑体" w:eastAsia="黑体"/>
          <w:szCs w:val="32"/>
        </w:rPr>
        <w:t>情况说明</w:t>
      </w:r>
    </w:p>
    <w:p w14:paraId="467BFFFD">
      <w:pPr>
        <w:ind w:firstLine="643" w:firstLineChars="200"/>
        <w:rPr>
          <w:rFonts w:ascii="仿宋_GB2312" w:hAnsi="仿宋"/>
          <w:b/>
          <w:szCs w:val="32"/>
        </w:rPr>
      </w:pPr>
      <w:r>
        <w:rPr>
          <w:rFonts w:hint="eastAsia" w:ascii="仿宋_GB2312" w:hAnsi="仿宋"/>
          <w:b/>
          <w:szCs w:val="32"/>
        </w:rPr>
        <w:t>（一）一般公共预算财政拨款“三公”经费支出决算总体情况说明。</w:t>
      </w:r>
    </w:p>
    <w:p w14:paraId="17579F28">
      <w:pPr>
        <w:ind w:firstLine="640" w:firstLineChars="200"/>
        <w:rPr>
          <w:rFonts w:ascii="仿宋_GB2312" w:hAnsi="仿宋"/>
          <w:szCs w:val="32"/>
        </w:rPr>
      </w:pPr>
      <w:r>
        <w:rPr>
          <w:rFonts w:hint="eastAsia" w:ascii="仿宋_GB2312" w:hAnsi="仿宋"/>
          <w:szCs w:val="32"/>
        </w:rPr>
        <w:t>淮北市供销社2021年度一般公共预算财政拨款“三公”经费支出预算为1.00万元，支出决算为0.56万元，完成预算的56%，决算数小于预算数的主要原因是坚持严格按照三公经费支出标准进行支出，努力降低三公经费支出数额。</w:t>
      </w:r>
    </w:p>
    <w:p w14:paraId="62460D54">
      <w:pPr>
        <w:ind w:firstLine="643" w:firstLineChars="200"/>
        <w:rPr>
          <w:rFonts w:ascii="仿宋_GB2312" w:hAnsi="仿宋"/>
          <w:b/>
          <w:szCs w:val="32"/>
        </w:rPr>
      </w:pPr>
      <w:r>
        <w:rPr>
          <w:rFonts w:hint="eastAsia" w:ascii="仿宋_GB2312" w:hAnsi="仿宋"/>
          <w:b/>
          <w:bCs/>
          <w:szCs w:val="32"/>
        </w:rPr>
        <w:t>（二）</w:t>
      </w:r>
      <w:r>
        <w:rPr>
          <w:rFonts w:hint="eastAsia" w:ascii="仿宋_GB2312" w:hAnsi="仿宋"/>
          <w:b/>
          <w:szCs w:val="32"/>
        </w:rPr>
        <w:t>一般公共预算财政拨款“三公”经费支出决算具体情况说明。</w:t>
      </w:r>
    </w:p>
    <w:p w14:paraId="255ACFBA">
      <w:pPr>
        <w:ind w:firstLine="640" w:firstLineChars="200"/>
        <w:rPr>
          <w:rFonts w:ascii="仿宋_GB2312" w:hAnsi="仿宋"/>
          <w:szCs w:val="32"/>
        </w:rPr>
      </w:pPr>
      <w:r>
        <w:rPr>
          <w:rFonts w:hint="eastAsia" w:ascii="仿宋_GB2312" w:hAnsi="仿宋"/>
          <w:szCs w:val="32"/>
        </w:rPr>
        <w:t>淮北市供销社2021年度一般公共预算财政拨款“三公”经费支出决算中，因公出国（境）费支出决算0万元，占0%;公务接待费支出决算0.56万元，占100%；公务用车购置及运行维护费支出决算0万元，占0%。具体情况如下：</w:t>
      </w:r>
    </w:p>
    <w:p w14:paraId="25B1981E">
      <w:pPr>
        <w:ind w:firstLine="628"/>
        <w:rPr>
          <w:rFonts w:ascii="仿宋_GB2312" w:hAnsi="仿宋"/>
          <w:szCs w:val="32"/>
        </w:rPr>
      </w:pPr>
      <w:r>
        <w:rPr>
          <w:rFonts w:hint="eastAsia" w:ascii="仿宋_GB2312" w:hAnsi="仿宋"/>
          <w:b/>
          <w:bCs/>
          <w:szCs w:val="32"/>
        </w:rPr>
        <w:t>1.因公出国（境）费支出</w:t>
      </w:r>
      <w:r>
        <w:rPr>
          <w:rFonts w:hint="eastAsia" w:ascii="仿宋_GB2312" w:hAnsi="仿宋"/>
          <w:szCs w:val="32"/>
        </w:rPr>
        <w:t>0万元，与2021年度预算相比，增减无变化。2021年淮北市供销社因公出国（境）团组0次，累计出国（境）0人次。该项经费根据市外办批准的因公临时出国（境）计划，按照规定标准安排。经费使用严格相关规定执行。</w:t>
      </w:r>
    </w:p>
    <w:p w14:paraId="45A6B0A8">
      <w:pPr>
        <w:ind w:firstLine="628"/>
        <w:rPr>
          <w:rFonts w:ascii="仿宋_GB2312" w:hAnsi="仿宋"/>
          <w:szCs w:val="32"/>
        </w:rPr>
      </w:pPr>
      <w:r>
        <w:rPr>
          <w:rFonts w:hint="eastAsia" w:ascii="仿宋_GB2312" w:hAnsi="仿宋"/>
          <w:b/>
          <w:bCs/>
          <w:szCs w:val="32"/>
        </w:rPr>
        <w:t>2.公务接待费支出</w:t>
      </w:r>
      <w:r>
        <w:rPr>
          <w:rFonts w:hint="eastAsia" w:ascii="仿宋_GB2312" w:hAnsi="仿宋"/>
          <w:szCs w:val="32"/>
        </w:rPr>
        <w:t>0.56万元, 与2021年度预算相比，减少0.44万元，下降44%，下降的原因是严格控制公务接待费用支出。2021年淮北市供销社国内公务接待共5批次（其中外事接待0批次），55人次（其中外事接待0人次）。主要是用于招商引资和省社调研公务接待。经费使用严格贯彻</w:t>
      </w:r>
      <w:r>
        <w:rPr>
          <w:rFonts w:hint="eastAsia" w:ascii="仿宋_GB2312" w:hAnsi="仿宋"/>
          <w:szCs w:val="32"/>
          <w:lang w:val="en-US" w:eastAsia="zh-CN"/>
        </w:rPr>
        <w:t>落实</w:t>
      </w:r>
      <w:bookmarkStart w:id="0" w:name="_GoBack"/>
      <w:r>
        <w:rPr>
          <w:rFonts w:hint="eastAsia" w:ascii="仿宋_GB2312" w:hAnsi="仿宋"/>
          <w:szCs w:val="32"/>
        </w:rPr>
        <w:t>中央八项规定</w:t>
      </w:r>
      <w:bookmarkEnd w:id="0"/>
      <w:r>
        <w:rPr>
          <w:rFonts w:hint="eastAsia" w:ascii="仿宋_GB2312" w:hAnsi="仿宋"/>
          <w:szCs w:val="32"/>
          <w:lang w:val="en-US" w:eastAsia="zh-CN"/>
        </w:rPr>
        <w:t>精神</w:t>
      </w:r>
      <w:r>
        <w:rPr>
          <w:rFonts w:hint="eastAsia" w:ascii="仿宋_GB2312" w:hAnsi="仿宋"/>
          <w:szCs w:val="32"/>
        </w:rPr>
        <w:t>要求，严格执行《党政机关厉行节约反对浪费条例》、淮北市公务接待相关规定等。</w:t>
      </w:r>
    </w:p>
    <w:p w14:paraId="30A33B15">
      <w:pPr>
        <w:ind w:firstLine="628"/>
        <w:rPr>
          <w:rFonts w:ascii="仿宋_GB2312" w:hAnsi="仿宋"/>
          <w:szCs w:val="32"/>
        </w:rPr>
      </w:pPr>
      <w:r>
        <w:rPr>
          <w:rFonts w:hint="eastAsia" w:ascii="仿宋_GB2312" w:hAnsi="仿宋"/>
          <w:b/>
          <w:bCs/>
          <w:szCs w:val="32"/>
        </w:rPr>
        <w:t>3.公务用车购置及运行维护费支出</w:t>
      </w:r>
      <w:r>
        <w:rPr>
          <w:rFonts w:hint="eastAsia" w:ascii="仿宋_GB2312" w:hAnsi="仿宋"/>
          <w:szCs w:val="32"/>
        </w:rPr>
        <w:t>0万元，与2021年度预算相比，增减无变化。其中，公务用车购置费0万元，与2021年度预算相比增减无变化，2021年没有安排公务用车购置费</w:t>
      </w:r>
      <w:r>
        <w:rPr>
          <w:rFonts w:hint="eastAsia" w:ascii="楷体_GB2312" w:hAnsi="仿宋" w:eastAsia="楷体_GB2312"/>
          <w:szCs w:val="32"/>
        </w:rPr>
        <w:t>。</w:t>
      </w:r>
      <w:r>
        <w:rPr>
          <w:rFonts w:hint="eastAsia" w:ascii="仿宋_GB2312" w:hAnsi="仿宋"/>
          <w:szCs w:val="32"/>
        </w:rPr>
        <w:t>公务用车运行维护费0万元，与2021年度预算相比，增减无变化。2021年没有安排公务用车运行维护费。</w:t>
      </w:r>
    </w:p>
    <w:p w14:paraId="01A106BE">
      <w:pPr>
        <w:rPr>
          <w:rFonts w:ascii="仿宋_GB2312" w:hAnsi="仿宋"/>
          <w:szCs w:val="32"/>
        </w:rPr>
      </w:pPr>
      <w:r>
        <w:rPr>
          <w:rFonts w:hint="eastAsia" w:ascii="仿宋_GB2312" w:hAnsi="仿宋"/>
          <w:szCs w:val="32"/>
        </w:rPr>
        <w:t>截至2021年12月31日，淮北市供销社开支财政拨款的公务用车保有量为0辆，与部门决算国有资产占用情况的车辆数相比，不一致的原因为：单位公务用车1辆已按车改文件公开拍卖。单位其他用车1辆（车牌号：皖F0288警），已与市公安局签订公用警车调拨协议，交由市公安局相山分局使用。</w:t>
      </w:r>
    </w:p>
    <w:p w14:paraId="4965F642"/>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2ZGE1YWYyMTk4OTU0NTI4YTIxM2FhZTM0OWZmYmYifQ=="/>
  </w:docVars>
  <w:rsids>
    <w:rsidRoot w:val="00D303BC"/>
    <w:rsid w:val="00226FD1"/>
    <w:rsid w:val="002F6DE8"/>
    <w:rsid w:val="00326726"/>
    <w:rsid w:val="003547B8"/>
    <w:rsid w:val="003671B4"/>
    <w:rsid w:val="003B6E2C"/>
    <w:rsid w:val="003C49D4"/>
    <w:rsid w:val="00497C22"/>
    <w:rsid w:val="004D6484"/>
    <w:rsid w:val="0059127D"/>
    <w:rsid w:val="00613D73"/>
    <w:rsid w:val="00656EC6"/>
    <w:rsid w:val="006B3BF0"/>
    <w:rsid w:val="007464E3"/>
    <w:rsid w:val="007719A9"/>
    <w:rsid w:val="0077204D"/>
    <w:rsid w:val="00775568"/>
    <w:rsid w:val="008A3C6F"/>
    <w:rsid w:val="009770F9"/>
    <w:rsid w:val="009D2B9A"/>
    <w:rsid w:val="00A00C09"/>
    <w:rsid w:val="00A92496"/>
    <w:rsid w:val="00AB0278"/>
    <w:rsid w:val="00B14CD1"/>
    <w:rsid w:val="00B2159B"/>
    <w:rsid w:val="00B72524"/>
    <w:rsid w:val="00C932CE"/>
    <w:rsid w:val="00CE25D9"/>
    <w:rsid w:val="00D2629D"/>
    <w:rsid w:val="00D303BC"/>
    <w:rsid w:val="00D9784E"/>
    <w:rsid w:val="00DB321D"/>
    <w:rsid w:val="00E02B6D"/>
    <w:rsid w:val="00E458C0"/>
    <w:rsid w:val="00EA1809"/>
    <w:rsid w:val="00ED257A"/>
    <w:rsid w:val="00F65A45"/>
    <w:rsid w:val="00FC29F2"/>
    <w:rsid w:val="00FF750A"/>
    <w:rsid w:val="069F5697"/>
    <w:rsid w:val="18242EF9"/>
    <w:rsid w:val="4F3276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3</Pages>
  <Words>920</Words>
  <Characters>1012</Characters>
  <Lines>7</Lines>
  <Paragraphs>2</Paragraphs>
  <TotalTime>37</TotalTime>
  <ScaleCrop>false</ScaleCrop>
  <LinksUpToDate>false</LinksUpToDate>
  <CharactersWithSpaces>1042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2021-07-16T00:55:00Z</dcterms:created>
  <dc:creator>丁配泉</dc:creator>
  <cp:lastModifiedBy>张思坤</cp:lastModifiedBy>
  <cp:lastPrinted>2022-07-26T08:29:00Z</cp:lastPrinted>
  <dcterms:modified xsi:type="dcterms:W3CDTF">2025-08-14T09:20:18Z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95B7D7A6868D44358BC8FEE951F652F5</vt:lpwstr>
  </property>
  <property fmtid="{D5CDD505-2E9C-101B-9397-08002B2CF9AE}" pid="4" name="KSOTemplateDocerSaveRecord">
    <vt:lpwstr>eyJoZGlkIjoiZGY2ZGE1YWYyMTk4OTU0NTI4YTIxM2FhZTM0OWZmYmYifQ==</vt:lpwstr>
  </property>
</Properties>
</file>