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FD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淮北市供销合作社联合社</w:t>
      </w:r>
    </w:p>
    <w:p w14:paraId="64BD9D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社有资本经营预算管理办法</w:t>
      </w:r>
    </w:p>
    <w:bookmarkEnd w:id="0"/>
    <w:p w14:paraId="48B3B9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AD0D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第一章 总 则</w:t>
      </w:r>
    </w:p>
    <w:p w14:paraId="60306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第一条 为规范淮北市供销合作社联合社（以下简称“市社”）社有资本经营预算管理，优化资产配置，根据《中华全国供销合作总社社有资本经营预算管理办法》、《安徽省供销合作社联合社社有资本经营预算管理暂行办法》及本市实际，制定本办法。</w:t>
      </w:r>
    </w:p>
    <w:p w14:paraId="6AF13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第二条 本办法所称社有资本经营预算，是指市供销社以出资人身份依法取得社有资本收益，并对所得收益进行分配而发生的各项收支预算。</w:t>
      </w:r>
    </w:p>
    <w:p w14:paraId="3A6A8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第三条 社有资本经营预算管理遵循以下原则：</w:t>
      </w:r>
    </w:p>
    <w:p w14:paraId="2CA04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（一）统筹平衡：结合社有资本存量和改革发展需求，合理确定收支规模；</w:t>
      </w:r>
    </w:p>
    <w:p w14:paraId="29662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（二）收支平衡：预算不列赤字，结余资金计入累积盈余；</w:t>
      </w:r>
    </w:p>
    <w:p w14:paraId="29E50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（三）简明高效：简化流程，明确权责，确保可操作性。</w:t>
      </w:r>
    </w:p>
    <w:p w14:paraId="3FBBB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4285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第二章 预算收支范围</w:t>
      </w:r>
    </w:p>
    <w:p w14:paraId="1DE82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第四条 社有资本经营预算收入主要包括：</w:t>
      </w:r>
    </w:p>
    <w:p w14:paraId="73BB0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（一）企业税后利润收入；</w:t>
      </w:r>
    </w:p>
    <w:p w14:paraId="3A42C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（二）股利、股息收入，即社有控股企业应分配给市供销社的股利和股息；</w:t>
      </w:r>
    </w:p>
    <w:p w14:paraId="24B17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（三）社有资产转让、股权转让及清算收入（扣除费用）；</w:t>
      </w:r>
    </w:p>
    <w:p w14:paraId="557F9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（四）社有资产出租出借收入等。</w:t>
      </w:r>
    </w:p>
    <w:p w14:paraId="14249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（五）其他收入。</w:t>
      </w:r>
    </w:p>
    <w:p w14:paraId="5AD80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第五条 社有资本经营预算支出主要包括：</w:t>
      </w:r>
    </w:p>
    <w:p w14:paraId="52040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（一）投资性支出：企业资本投入、重大项目支出；</w:t>
      </w:r>
    </w:p>
    <w:p w14:paraId="0A60A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费用性支出：强化为农服务职责、深化供销社体制改革、健全组织体系、完善服务体系，扶持系统发展的相关支出；解决历史遗留问题及改革改制成本的相关支出；社有资产和社有企业的监督管理支出；对合作社宣传支出、扶贫、救灾、捐赠、教育培训等公益性支出等；</w:t>
      </w:r>
    </w:p>
    <w:p w14:paraId="5FA01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（三）其他支出。</w:t>
      </w:r>
    </w:p>
    <w:p w14:paraId="4F767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21B2F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第三章 预算编制与批复</w:t>
      </w:r>
    </w:p>
    <w:p w14:paraId="04AC3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第六条 预算编制依据：</w:t>
      </w:r>
    </w:p>
    <w:p w14:paraId="398B3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（一）上年度实际收入及本年度收入预测；</w:t>
      </w:r>
    </w:p>
    <w:p w14:paraId="4C5D1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（二）市社年度重点工作任务；</w:t>
      </w:r>
    </w:p>
    <w:p w14:paraId="03A6D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（三）存量结余资金情况。</w:t>
      </w:r>
    </w:p>
    <w:p w14:paraId="395D8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第七条 预算编制程序：</w:t>
      </w:r>
    </w:p>
    <w:p w14:paraId="54482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（一）财会科每年11月下发预算编制通知；</w:t>
      </w:r>
    </w:p>
    <w:p w14:paraId="5FEB1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（二）各全资、控股企业填报《年度收支预算表》，列明收入来源及支出明细；</w:t>
      </w:r>
    </w:p>
    <w:p w14:paraId="299FD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（三）财会科汇总审核后形成预算草案，报市社分管领导审批，并于次年1月15日前下达批复。</w:t>
      </w:r>
    </w:p>
    <w:p w14:paraId="66636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608B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第四章 预算执行</w:t>
      </w:r>
    </w:p>
    <w:p w14:paraId="03BF8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第八条 预算执行要求：</w:t>
      </w:r>
    </w:p>
    <w:p w14:paraId="7E102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 预算收入按规定应定额上缴市社有资产公司。</w:t>
      </w:r>
    </w:p>
    <w:p w14:paraId="01238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（二）预算单位按批复执行，严禁无预算、超预算支出。</w:t>
      </w:r>
    </w:p>
    <w:p w14:paraId="54B26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（三）单笔超3万元的支出需报市社审批。</w:t>
      </w:r>
    </w:p>
    <w:p w14:paraId="044A0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6023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第五章 绩效管理与监督</w:t>
      </w:r>
    </w:p>
    <w:p w14:paraId="66940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第九条 财会科负责牵头开展社有资本经营预算支出绩效评价工作，各企业填报《企业整体支出绩效自评表》，于次年5月15日前报送财会科，绩效评价结果提报市社党组会议研究后，作为以后年度预算安排的依据。</w:t>
      </w:r>
    </w:p>
    <w:p w14:paraId="6CF1E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第十条 社有企业上缴预算收入的完成情况，纳入年度工作目标和企业负责人经营业绩考核范畴。</w:t>
      </w:r>
    </w:p>
    <w:p w14:paraId="1596F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第十一条 社有资本经营预算管理情况接受审计机关和同级财政部门的监督。</w:t>
      </w:r>
    </w:p>
    <w:p w14:paraId="01493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4324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第六章 附 则</w:t>
      </w:r>
    </w:p>
    <w:p w14:paraId="4E7B1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第十二条 本办法由市社财会科负责解释。</w:t>
      </w:r>
    </w:p>
    <w:p w14:paraId="70908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第十三条 本办法自印发之日起施行，《淮北市供销社投资企业全面预算管理办法》（淮供〔2020〕14号）同时废止。                      </w:t>
      </w:r>
    </w:p>
    <w:p w14:paraId="5089E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284EF4"/>
    <w:rsid w:val="0B2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其他省直机关单位</Company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2025-04-14T03:05:00Z</dcterms:created>
  <dc:creator>张思坤</dc:creator>
  <cp:lastModifiedBy>张思坤</cp:lastModifiedBy>
  <dcterms:modified xsi:type="dcterms:W3CDTF">2025-04-14T03:08:25Z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DB57DCF6FCF3410A97E90F33C65DE63E_11</vt:lpwstr>
  </property>
  <property fmtid="{D5CDD505-2E9C-101B-9397-08002B2CF9AE}" pid="4" name="KSOTemplateDocerSaveRecord">
    <vt:lpwstr>eyJoZGlkIjoiZGY2ZGE1YWYyMTk4OTU0NTI4YTIxM2FhZTM0OWZmYmYifQ==</vt:lpwstr>
  </property>
</Properties>
</file>