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p/>
    <w:p/>
    <w:p/>
    <w:p/>
    <w:p/>
    <w:p/>
    <w:p/>
    <w:p>
      <w:pPr>
        <w:spacing w:line="560" w:lineRule="exact"/>
        <w:jc w:val="center"/>
        <w:rPr>
          <w:rFonts w:ascii="TimesNewRoman" w:hAnsi="TimesNewRoman" w:eastAsia="华文中宋" w:cs="TimesNewRoman"/>
          <w:b/>
          <w:sz w:val="44"/>
          <w:szCs w:val="44"/>
        </w:rPr>
      </w:pPr>
      <w:bookmarkStart w:id="0" w:name="OLE_LINK1"/>
      <w:r>
        <w:rPr>
          <w:rFonts w:hint="eastAsia" w:ascii="TimesNewRoman" w:hAnsi="TimesNewRoman" w:eastAsia="华文中宋" w:cs="TimesNewRoman"/>
          <w:b/>
          <w:sz w:val="44"/>
          <w:szCs w:val="44"/>
        </w:rPr>
        <w:t>淮北市供销社2023年</w:t>
      </w:r>
    </w:p>
    <w:p>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部门预算</w:t>
      </w:r>
    </w:p>
    <w:bookmarkEnd w:id="0"/>
    <w:p/>
    <w:p/>
    <w:p/>
    <w:p/>
    <w:p/>
    <w:p/>
    <w:p/>
    <w:p/>
    <w:p/>
    <w:p/>
    <w:p/>
    <w:p/>
    <w:p/>
    <w:p/>
    <w:p/>
    <w:p/>
    <w:p/>
    <w:p/>
    <w:p/>
    <w:p/>
    <w:p/>
    <w:p/>
    <w:p/>
    <w:p>
      <w:pPr>
        <w:pStyle w:val="4"/>
        <w:adjustRightInd w:val="0"/>
        <w:snapToGrid w:val="0"/>
        <w:spacing w:line="560" w:lineRule="exact"/>
        <w:jc w:val="center"/>
        <w:rPr>
          <w:rFonts w:ascii="TimesNewRoman" w:hAnsi="TimesNewRoman" w:eastAsia="黑体" w:cs="TimesNewRoman"/>
          <w:bCs/>
          <w:sz w:val="44"/>
          <w:szCs w:val="44"/>
        </w:rPr>
      </w:pPr>
    </w:p>
    <w:p>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2023年2月</w:t>
      </w:r>
    </w:p>
    <w:p/>
    <w:p/>
    <w:p>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p>
      <w:pPr>
        <w:pStyle w:val="4"/>
        <w:adjustRightInd w:val="0"/>
        <w:snapToGrid w:val="0"/>
        <w:spacing w:line="40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部门（单位）概况</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2、部门（单位）预算构成</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、2023年度主要工作任务</w:t>
      </w:r>
    </w:p>
    <w:p>
      <w:pPr>
        <w:pStyle w:val="4"/>
        <w:adjustRightInd w:val="0"/>
        <w:snapToGrid w:val="0"/>
        <w:spacing w:line="40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2023年部门（单位）预算表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1、淮北市供销社2023年收支总表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2、淮北市供销社2023年收入总表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3、淮北市供销社2023年支出总表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4、淮北市供销社2023年财政拨款收支总表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5、淮北市供销社2023年一般公共预算支出表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6、淮北市供销社2023年一般公共预算基本支出表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7、淮北市供销社2023年政府性基金预算支出表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8、淮北市供销社2023年国有资本经营预算支出表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9、淮北市供销社2023年项目支出表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10、淮北市供销社2023年政府采购支出表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11、淮北市供销社2023年政府购买服务支出表</w:t>
      </w:r>
    </w:p>
    <w:p>
      <w:pPr>
        <w:pStyle w:val="4"/>
        <w:adjustRightInd w:val="0"/>
        <w:snapToGrid w:val="0"/>
        <w:spacing w:line="40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2023年部门（单位）预算情况说明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1、关于2023年收支总表的说明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2、关于2023年收入总表的说明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3、关于2023年支出总表的说明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4、关于2023年财政拨款收支总表的说明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5、关于2023年一般公共预算支出表的说明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6、关于2023年一般公共预算基本支出表的说明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7、关于2023年政府性基金预算支出表的说明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8、关于2023年国有资本经营预算支出表的说明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9、关于2023年项目支出表的说明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10、关于2023年政府采购支出表的说明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11、关于2023年政府购买服务支出表的说明</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12、其他重要事项情况说明</w:t>
      </w:r>
    </w:p>
    <w:p>
      <w:pPr>
        <w:pStyle w:val="4"/>
        <w:adjustRightInd w:val="0"/>
        <w:snapToGrid w:val="0"/>
        <w:spacing w:line="40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pPr>
        <w:pStyle w:val="4"/>
        <w:adjustRightInd w:val="0"/>
        <w:snapToGrid w:val="0"/>
        <w:spacing w:line="40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1、淮北市供销社2023年部门预算纳入绩效考评项目表</w:t>
      </w:r>
    </w:p>
    <w:p>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2、淮北市供销社2023年部门预算专项资金管理清单</w:t>
      </w:r>
    </w:p>
    <w:p>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部门（单位）概况</w:t>
      </w:r>
    </w:p>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NewRoman" w:hAnsi="TimesNewRoman" w:eastAsia="仿宋_GB2312" w:cs="TimesNewRoman"/>
          <w:bCs/>
          <w:sz w:val="32"/>
          <w:szCs w:val="32"/>
        </w:rPr>
      </w:pPr>
      <w:r>
        <w:rPr>
          <w:rFonts w:hint="eastAsia" w:ascii="TimesNewRoman" w:hAnsi="TimesNewRoman" w:eastAsia="仿宋_GB2312" w:cs="TimesNewRoman"/>
          <w:bCs/>
          <w:sz w:val="32"/>
          <w:szCs w:val="32"/>
        </w:rPr>
        <w:t>根据淮政办（2002）66号《关于印发淮北市供销合作社职能配置、内设机构和人员编制规定的通知》文件规定，淮北市供销社主要职责是：宣传贯彻党中央、国务院和省委、省政府、市委、市政府的方针政策；协调与政府有关部门及其它社会组织的关系。制定全市供销社的发展战略和发展规划，指导全市供销社的改革与发展，提出发展供销合作事业的政策建议；维护各级供销合作社的合法权益；负责对本系统内的业务进行指导，对本系统供销社组织、队伍建设和人才资源开发进行指导；贯彻开放办社原则，加强系统的组织与合作；大力开拓农村市场，积极参与农业产业化经营，发展农村专业合作社，创办各类专业协会，培育发展壮大龙头企业，引导农民有组织地进入市场，强力推进“新网工程”建设，构筑农村现代流通服务网络，服务三农；承办市委、市政府交办的其它任务。</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二、部门预算构成</w:t>
      </w:r>
    </w:p>
    <w:p>
      <w:pPr>
        <w:pStyle w:val="4"/>
        <w:adjustRightInd w:val="0"/>
        <w:snapToGrid w:val="0"/>
        <w:spacing w:line="560" w:lineRule="exact"/>
        <w:ind w:firstLine="627" w:firstLineChars="196"/>
        <w:rPr>
          <w:rFonts w:ascii="仿宋_GB2312" w:hAnsi="仿宋" w:eastAsia="仿宋_GB2312"/>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rPr>
        <w:t>淮北市供销社</w:t>
      </w:r>
      <w:r>
        <w:rPr>
          <w:rFonts w:hint="eastAsia" w:ascii="TimesNewRoman" w:hAnsi="TimesNewRoman" w:eastAsia="仿宋_GB2312" w:cs="TimesNewRoman"/>
          <w:sz w:val="32"/>
          <w:szCs w:val="32"/>
        </w:rPr>
        <w:t>2023年度</w:t>
      </w:r>
      <w:r>
        <w:rPr>
          <w:rFonts w:hint="eastAsia" w:ascii="仿宋_GB2312" w:hAnsi="仿宋" w:eastAsia="仿宋_GB2312"/>
          <w:sz w:val="32"/>
          <w:szCs w:val="32"/>
        </w:rPr>
        <w:t>部门预算仅包括市本级预算，无其他下属单位预算。</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三、2023年度主要工作任务</w:t>
      </w:r>
    </w:p>
    <w:p>
      <w:pPr>
        <w:rPr>
          <w:rFonts w:ascii="仿宋_GB2312" w:eastAsia="仿宋_GB2312"/>
          <w:sz w:val="32"/>
          <w:szCs w:val="32"/>
        </w:rPr>
      </w:pPr>
      <w:r>
        <w:rPr>
          <w:rFonts w:hint="eastAsia" w:ascii="仿宋_GB2312" w:eastAsia="仿宋_GB2312"/>
          <w:sz w:val="32"/>
          <w:szCs w:val="32"/>
        </w:rPr>
        <w:t>1.</w:t>
      </w:r>
      <w:r>
        <w:rPr>
          <w:rFonts w:hint="eastAsia" w:ascii="仿宋_GB2312" w:hAnsi="仿宋_GB2312" w:eastAsia="仿宋_GB2312" w:cs="仿宋_GB2312"/>
          <w:sz w:val="32"/>
          <w:szCs w:val="32"/>
        </w:rPr>
        <w:t>完善农业社会化服务体系</w:t>
      </w:r>
      <w:r>
        <w:rPr>
          <w:rFonts w:hint="eastAsia" w:ascii="仿宋_GB2312" w:eastAsia="仿宋_GB2312"/>
          <w:sz w:val="32"/>
          <w:szCs w:val="32"/>
        </w:rPr>
        <w:t xml:space="preserve"> </w:t>
      </w:r>
    </w:p>
    <w:p>
      <w:pPr>
        <w:rPr>
          <w:rFonts w:ascii="仿宋_GB2312" w:eastAsia="仿宋_GB2312"/>
          <w:sz w:val="32"/>
          <w:szCs w:val="32"/>
        </w:rPr>
      </w:pPr>
      <w:r>
        <w:rPr>
          <w:rFonts w:hint="eastAsia" w:ascii="仿宋_GB2312" w:eastAsia="仿宋_GB2312"/>
          <w:sz w:val="32"/>
          <w:szCs w:val="32"/>
        </w:rPr>
        <w:t>2.</w:t>
      </w:r>
      <w:r>
        <w:rPr>
          <w:rFonts w:hint="eastAsia" w:ascii="仿宋_GB2312" w:hAnsi="仿宋_GB2312" w:eastAsia="仿宋_GB2312" w:cs="仿宋_GB2312"/>
          <w:sz w:val="32"/>
          <w:szCs w:val="32"/>
        </w:rPr>
        <w:t>拓展经营服务领域。</w:t>
      </w:r>
    </w:p>
    <w:p>
      <w:pPr>
        <w:rPr>
          <w:rFonts w:ascii="仿宋_GB2312" w:eastAsia="仿宋_GB2312"/>
          <w:sz w:val="32"/>
          <w:szCs w:val="32"/>
        </w:rPr>
      </w:pPr>
      <w:r>
        <w:rPr>
          <w:rFonts w:hint="eastAsia" w:ascii="仿宋_GB2312" w:eastAsia="仿宋_GB2312"/>
          <w:sz w:val="32"/>
          <w:szCs w:val="32"/>
        </w:rPr>
        <w:t>3.</w:t>
      </w:r>
      <w:r>
        <w:rPr>
          <w:rFonts w:hint="eastAsia" w:ascii="仿宋_GB2312" w:hAnsi="仿宋_GB2312" w:eastAsia="仿宋_GB2312" w:cs="仿宋_GB2312"/>
          <w:sz w:val="32"/>
          <w:szCs w:val="32"/>
        </w:rPr>
        <w:t>实施基层社改造。</w:t>
      </w:r>
    </w:p>
    <w:p>
      <w:pPr>
        <w:rPr>
          <w:rFonts w:ascii="仿宋_GB2312" w:eastAsia="仿宋_GB2312"/>
          <w:sz w:val="32"/>
          <w:szCs w:val="32"/>
        </w:rPr>
      </w:pPr>
      <w:r>
        <w:rPr>
          <w:rFonts w:hint="eastAsia" w:ascii="仿宋_GB2312" w:eastAsia="仿宋_GB2312"/>
          <w:sz w:val="32"/>
          <w:szCs w:val="32"/>
        </w:rPr>
        <w:t>4.</w:t>
      </w:r>
      <w:r>
        <w:rPr>
          <w:rFonts w:hint="eastAsia" w:ascii="仿宋_GB2312" w:hAnsi="仿宋_GB2312" w:eastAsia="仿宋_GB2312" w:cs="仿宋_GB2312"/>
          <w:sz w:val="32"/>
          <w:szCs w:val="32"/>
        </w:rPr>
        <w:t>推动生产、供销、信用“三位一体”综合合作。</w:t>
      </w:r>
    </w:p>
    <w:p>
      <w:pPr>
        <w:rPr>
          <w:rFonts w:ascii="仿宋_GB2312" w:eastAsia="仿宋_GB2312"/>
          <w:sz w:val="32"/>
          <w:szCs w:val="32"/>
        </w:rPr>
      </w:pPr>
      <w:r>
        <w:rPr>
          <w:rFonts w:hint="eastAsia" w:ascii="仿宋_GB2312" w:eastAsia="仿宋_GB2312"/>
          <w:sz w:val="32"/>
          <w:szCs w:val="32"/>
        </w:rPr>
        <w:t>5.</w:t>
      </w:r>
      <w:r>
        <w:rPr>
          <w:rFonts w:hint="eastAsia" w:ascii="仿宋_GB2312" w:hAnsi="仿宋_GB2312" w:eastAsia="仿宋_GB2312" w:cs="仿宋_GB2312"/>
          <w:sz w:val="32"/>
          <w:szCs w:val="32"/>
        </w:rPr>
        <w:t>积极跟进项目建设。</w:t>
      </w:r>
    </w:p>
    <w:p>
      <w:pPr>
        <w:rPr>
          <w:rFonts w:ascii="仿宋_GB2312" w:eastAsia="仿宋_GB2312"/>
          <w:sz w:val="32"/>
          <w:szCs w:val="32"/>
        </w:rPr>
      </w:pPr>
      <w:r>
        <w:rPr>
          <w:rFonts w:hint="eastAsia" w:ascii="仿宋_GB2312" w:eastAsia="仿宋_GB2312"/>
          <w:sz w:val="32"/>
          <w:szCs w:val="32"/>
        </w:rPr>
        <w:t>6.</w:t>
      </w:r>
      <w:r>
        <w:rPr>
          <w:rFonts w:hint="eastAsia" w:ascii="仿宋_GB2312" w:hAnsi="仿宋_GB2312" w:eastAsia="仿宋_GB2312" w:cs="仿宋_GB2312"/>
          <w:sz w:val="32"/>
          <w:szCs w:val="32"/>
        </w:rPr>
        <w:t>持续深化全面从严治社工作。</w:t>
      </w:r>
    </w:p>
    <w:p>
      <w:r>
        <w:rPr>
          <w:rFonts w:hint="eastAsia" w:ascii="仿宋_GB2312" w:eastAsia="仿宋_GB2312"/>
          <w:sz w:val="32"/>
          <w:szCs w:val="32"/>
        </w:rPr>
        <w:t xml:space="preserve">7. </w:t>
      </w:r>
      <w:r>
        <w:rPr>
          <w:rFonts w:hint="eastAsia" w:ascii="仿宋_GB2312" w:hAnsi="仿宋_GB2312" w:eastAsia="仿宋_GB2312" w:cs="仿宋_GB2312"/>
          <w:sz w:val="32"/>
          <w:szCs w:val="32"/>
        </w:rPr>
        <w:t>扎实推进党建工作。</w:t>
      </w:r>
    </w:p>
    <w:p>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2023年部门（单位）预算表</w:t>
      </w:r>
    </w:p>
    <w:p>
      <w:pPr>
        <w:pStyle w:val="4"/>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r>
        <w:t xml:space="preserve">                                        </w:t>
      </w:r>
    </w:p>
    <w:p>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 2023年部门（单位）预算情况说明</w:t>
      </w:r>
    </w:p>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一、关于2023年收支总表的说明</w:t>
      </w:r>
    </w:p>
    <w:p>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淮北市供销社所有收入和支出均纳入部门（单位）预算管理。淮北市供销社2023年收支总预算483.54万元，收入全部是一般公共预算拨款收入483.54万元，支出包括：社会保障和就业支出、卫生健康支出、商业服务业等支出、住房保障支出。</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二、关于2023年收入总表的说明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淮北市供销社2023年收入预算483.54万元，其中，本年收入483.54万元。</w:t>
      </w:r>
    </w:p>
    <w:p>
      <w:pPr>
        <w:ind w:firstLine="642" w:firstLineChars="200"/>
        <w:rPr>
          <w:rFonts w:ascii="仿宋_GB2312" w:eastAsia="仿宋_GB2312"/>
          <w:sz w:val="32"/>
          <w:szCs w:val="32"/>
        </w:rPr>
      </w:pPr>
      <w:r>
        <w:rPr>
          <w:rFonts w:hint="eastAsia" w:ascii="TimesNewRoman" w:hAnsi="TimesNewRoman" w:eastAsia="仿宋_GB2312" w:cs="TimesNewRoman"/>
          <w:b/>
          <w:kern w:val="0"/>
          <w:sz w:val="32"/>
          <w:szCs w:val="32"/>
        </w:rPr>
        <w:t>（一）本年收入483.54万元，</w:t>
      </w:r>
      <w:r>
        <w:rPr>
          <w:rFonts w:hint="eastAsia" w:ascii="TimesNewRoman" w:hAnsi="TimesNewRoman" w:eastAsia="仿宋_GB2312" w:cs="TimesNewRoman"/>
          <w:kern w:val="0"/>
          <w:sz w:val="32"/>
          <w:szCs w:val="32"/>
        </w:rPr>
        <w:t>主要包括：一般公共预算拨款收入483.54万元，占100%，比2022年预算增加149.35万元，增长44.69%，原因主要是</w:t>
      </w:r>
      <w:r>
        <w:rPr>
          <w:rFonts w:hint="eastAsia" w:ascii="仿宋_GB2312" w:eastAsia="仿宋_GB2312"/>
          <w:sz w:val="32"/>
          <w:szCs w:val="32"/>
        </w:rPr>
        <w:t>部门预算增加在职和离退休人员绩效奖金和在职人员工资变动等影响</w:t>
      </w:r>
      <w:r>
        <w:rPr>
          <w:rFonts w:hint="eastAsia" w:ascii="TimesNewRoman" w:hAnsi="TimesNewRoman" w:eastAsia="仿宋_GB2312" w:cs="TimesNewRoman"/>
          <w:kern w:val="0"/>
          <w:sz w:val="32"/>
          <w:szCs w:val="32"/>
        </w:rPr>
        <w:t>；政府性基金预算拨款收入0万元，占0%，比2022</w:t>
      </w:r>
      <w:r>
        <w:rPr>
          <w:rFonts w:hint="eastAsia" w:ascii="仿宋_GB2312" w:eastAsia="仿宋_GB2312"/>
          <w:sz w:val="32"/>
          <w:szCs w:val="32"/>
        </w:rPr>
        <w:t>年预算数增减无变化。主要原因是市供销社无政府性基金预算收入</w:t>
      </w:r>
      <w:r>
        <w:rPr>
          <w:rFonts w:hint="eastAsia" w:ascii="TimesNewRoman" w:hAnsi="TimesNewRoman" w:eastAsia="仿宋_GB2312" w:cs="TimesNewRoman"/>
          <w:kern w:val="0"/>
          <w:sz w:val="32"/>
          <w:szCs w:val="32"/>
        </w:rPr>
        <w:t>；财政专户管理资金收入0万元，占0%，比2022年</w:t>
      </w:r>
      <w:r>
        <w:rPr>
          <w:rFonts w:hint="eastAsia" w:ascii="仿宋_GB2312" w:eastAsia="仿宋_GB2312"/>
          <w:sz w:val="32"/>
          <w:szCs w:val="32"/>
        </w:rPr>
        <w:t>预算数增减无变化</w:t>
      </w:r>
      <w:r>
        <w:rPr>
          <w:rFonts w:hint="eastAsia" w:ascii="TimesNewRoman" w:hAnsi="TimesNewRoman" w:eastAsia="仿宋_GB2312" w:cs="TimesNewRoman"/>
          <w:kern w:val="0"/>
          <w:sz w:val="32"/>
          <w:szCs w:val="32"/>
        </w:rPr>
        <w:t>，原因主要是</w:t>
      </w:r>
      <w:r>
        <w:rPr>
          <w:rFonts w:hint="eastAsia" w:ascii="仿宋_GB2312" w:eastAsia="仿宋_GB2312"/>
          <w:sz w:val="32"/>
          <w:szCs w:val="32"/>
        </w:rPr>
        <w:t>市供销社无财政专户管理的非税收入。</w:t>
      </w:r>
    </w:p>
    <w:p>
      <w:pPr>
        <w:ind w:firstLine="640" w:firstLineChars="200"/>
        <w:rPr>
          <w:rFonts w:ascii="TimesNewRoman" w:hAnsi="TimesNewRoman" w:eastAsia="黑体" w:cs="TimesNewRoman"/>
          <w:bCs/>
          <w:sz w:val="32"/>
          <w:szCs w:val="32"/>
        </w:rPr>
      </w:pPr>
      <w:r>
        <w:rPr>
          <w:rFonts w:hint="eastAsia" w:ascii="TimesNewRoman" w:hAnsi="TimesNewRoman" w:eastAsia="黑体" w:cs="TimesNewRoman"/>
          <w:bCs/>
          <w:sz w:val="32"/>
          <w:szCs w:val="32"/>
        </w:rPr>
        <w:t>三、关于2023年支出总表的说明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淮北市供销社2023年支出预算483.54万元，比2022年预算增加149.35万元，增长44.69%，原因主要是</w:t>
      </w:r>
      <w:r>
        <w:rPr>
          <w:rFonts w:hint="eastAsia" w:ascii="仿宋_GB2312" w:eastAsia="仿宋_GB2312"/>
          <w:sz w:val="32"/>
          <w:szCs w:val="32"/>
        </w:rPr>
        <w:t>部门预算增加在职和离退休人员绩效奖金和在职人员工资变动等影响</w:t>
      </w:r>
      <w:r>
        <w:rPr>
          <w:rFonts w:hint="eastAsia" w:ascii="TimesNewRoman" w:hAnsi="TimesNewRoman" w:eastAsia="仿宋_GB2312" w:cs="TimesNewRoman"/>
          <w:kern w:val="0"/>
          <w:sz w:val="32"/>
          <w:szCs w:val="32"/>
        </w:rPr>
        <w:t>。其中，基本支出468.44万元，占96.88%，主要用于保障机构日常运转、完成日常工作任务；项目支出15.10万元，占3.12%，主要用于</w:t>
      </w:r>
      <w:r>
        <w:rPr>
          <w:rFonts w:hint="eastAsia" w:ascii="仿宋_GB2312" w:eastAsia="仿宋_GB2312"/>
          <w:sz w:val="32"/>
          <w:szCs w:val="32"/>
        </w:rPr>
        <w:t>加强对供销社所属基层单位的指导、协调和管理，履行主管部门的监督管理职责。到基层检查指导工作所需的办公、差旅等费用支出。</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四、关于2023年财政拨款收支总表的说明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供销社2023年财政拨款收支预算483.54万元。收入按资金来源分为：一般公共预算拨款483.54万元、政府性基金预算拨款0万元；按资金年度分为：本年财政拨款收入483.54万元。支出按功能分类分为：社会保障和就业支出197.98万元，占40.94%；卫生健康支出13.98万元，占2.89%；商业和服务业等支出233.77万元，占48.35%；住房保障支出37.81万元，占7.82 %。</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五、关于2023年一般公共预算支出表的说明</w:t>
      </w:r>
    </w:p>
    <w:p>
      <w:pPr>
        <w:pStyle w:val="4"/>
        <w:adjustRightInd w:val="0"/>
        <w:snapToGrid w:val="0"/>
        <w:spacing w:line="560" w:lineRule="exact"/>
        <w:ind w:firstLine="629"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pPr>
        <w:ind w:firstLine="640" w:firstLineChars="200"/>
        <w:rPr>
          <w:rFonts w:ascii="TimesNewRoman" w:hAnsi="TimesNewRoman" w:eastAsia="楷体_GB2312" w:cs="TimesNewRoman"/>
          <w:b/>
          <w:sz w:val="32"/>
          <w:szCs w:val="32"/>
        </w:rPr>
      </w:pPr>
      <w:r>
        <w:rPr>
          <w:rFonts w:hint="eastAsia" w:ascii="TimesNewRoman" w:hAnsi="TimesNewRoman" w:eastAsia="仿宋_GB2312" w:cs="TimesNewRoman"/>
          <w:kern w:val="0"/>
          <w:sz w:val="32"/>
          <w:szCs w:val="32"/>
        </w:rPr>
        <w:t>淮北市供销社2023年一般公共预算支出483.54万元，比2022年预算增加149.35万元，增长44.69%，主要原因是</w:t>
      </w:r>
      <w:r>
        <w:rPr>
          <w:rFonts w:hint="eastAsia" w:ascii="仿宋_GB2312" w:eastAsia="仿宋_GB2312"/>
          <w:sz w:val="32"/>
          <w:szCs w:val="32"/>
        </w:rPr>
        <w:t>部门预算增加在职和离退休人员绩效奖金和在职人员工资变动等影响</w:t>
      </w:r>
      <w:r>
        <w:rPr>
          <w:rFonts w:hint="eastAsia" w:ascii="TimesNewRoman" w:hAnsi="TimesNewRoman" w:eastAsia="仿宋_GB2312" w:cs="TimesNewRoman"/>
          <w:kern w:val="0"/>
          <w:sz w:val="32"/>
          <w:szCs w:val="32"/>
        </w:rPr>
        <w:t>。</w:t>
      </w:r>
      <w:r>
        <w:rPr>
          <w:rFonts w:hint="eastAsia" w:ascii="TimesNewRoman" w:hAnsi="TimesNewRoman" w:eastAsia="楷体_GB2312" w:cs="TimesNewRoman"/>
          <w:b/>
          <w:sz w:val="32"/>
          <w:szCs w:val="32"/>
        </w:rPr>
        <w:t>（二）一般公共预算支出结构情况。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社会保障和就业支出197.98万元，占40.94%；卫生健康支出13.98万元，占2.89%；商业和服务业等支出233.77万元，占48.35%；住房保障支出37.81万元，占7.82%。</w:t>
      </w:r>
    </w:p>
    <w:p>
      <w:pPr>
        <w:pStyle w:val="4"/>
        <w:adjustRightInd w:val="0"/>
        <w:snapToGrid w:val="0"/>
        <w:spacing w:line="560" w:lineRule="exact"/>
        <w:ind w:firstLine="629" w:firstLineChars="196"/>
        <w:rPr>
          <w:rFonts w:hint="eastAsia" w:ascii="TimesNewRoman" w:hAnsi="TimesNewRoman" w:eastAsia="仿宋_GB2312" w:cs="TimesNewRoman"/>
          <w:kern w:val="0"/>
          <w:sz w:val="32"/>
          <w:szCs w:val="32"/>
          <w:lang w:val="en-US" w:eastAsia="zh-CN" w:bidi="ar-SA"/>
        </w:rPr>
      </w:pPr>
      <w:r>
        <w:rPr>
          <w:rFonts w:hint="eastAsia" w:ascii="TimesNewRoman" w:hAnsi="TimesNewRoman" w:eastAsia="楷体_GB2312" w:cs="TimesNewRoman"/>
          <w:b/>
          <w:sz w:val="32"/>
          <w:szCs w:val="32"/>
        </w:rPr>
        <w:t>（三）一般公共预算支出具体使用情况。</w:t>
      </w:r>
    </w:p>
    <w:p>
      <w:pPr>
        <w:ind w:firstLine="640" w:firstLineChars="200"/>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1.商业服务业（类）商业流通事务（款）行政运行（项）2023年预算218.67万元，比2022年预算增加29.52万元，增长15.61%，原因主要是在职人员工资及绩效增加。</w:t>
      </w:r>
    </w:p>
    <w:p>
      <w:pPr>
        <w:ind w:firstLine="640" w:firstLineChars="200"/>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2.商业服务业（类）商业流通事务事务（款）一般行政管理事务（项） 2023年预算15.10万元，比2022年预算数增减无变化，原因主要是单位响应财政部门要求，严格控制办公经费支出。</w:t>
      </w:r>
    </w:p>
    <w:p>
      <w:pPr>
        <w:ind w:firstLine="640" w:firstLineChars="200"/>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3.社会保障和就业支出（类）行政事业单位养老支出（款）事业单位离退休（项）2023年预算157.09万元，比2022年预算增加110.67万元，增长70.45%，原因主要是离退休人员绩效工资增加。</w:t>
      </w:r>
    </w:p>
    <w:p>
      <w:pPr>
        <w:ind w:firstLine="640" w:firstLineChars="200"/>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4.社会保障和就业支出（类）行政事业单位养老支出（款）机关事业单位基本养老保险缴费支出（项）2023年预算27.09万元，比2022年预算增加5.69万元，增长26.59%，原因主要是养老保险缴费基数提高增加基本养老金缴费额。</w:t>
      </w:r>
    </w:p>
    <w:p>
      <w:pPr>
        <w:ind w:firstLine="640" w:firstLineChars="200"/>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5.社会保障和就业支出（类）行政事业单位养老支出（款）机关事业单位职业年金缴费（项）2023年预算13.55万元，比2022年预算增加2.85万元，增长26.64%，原因主要是职业年金基数提高增加职业年金缴费额。</w:t>
      </w:r>
    </w:p>
    <w:p>
      <w:pPr>
        <w:ind w:firstLine="640" w:firstLineChars="200"/>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6.社会保障和就业支出（类）其他社会保障和就业支出（款）其他社会保障和就业（项）2023年预算0.25万元，比2022年预算增加0.25万元，原因主要是新增工伤保险预算。</w:t>
      </w:r>
    </w:p>
    <w:p>
      <w:pPr>
        <w:ind w:firstLine="640" w:firstLineChars="200"/>
        <w:rPr>
          <w:rFonts w:hint="default"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7.卫生健康支出（类）行政事业单位医疗（款）行政单位医疗（项） 2023年预算10.30万元，比2022年预算减少0.94万元，下降8.36%，下降原因主要是在职人员人数和工资变动等影响。</w:t>
      </w:r>
    </w:p>
    <w:p>
      <w:pPr>
        <w:ind w:firstLine="640" w:firstLineChars="200"/>
        <w:rPr>
          <w:rFonts w:hint="default"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8. 卫生健康支出（类）行政事业单位医疗（款）公务员医疗补助（项） 2023年预算3.68万元，比2022年预算减少0.33万元，下降8.23%，下降原因主要是在职人员人数和工资变动等影响。</w:t>
      </w:r>
    </w:p>
    <w:p>
      <w:pPr>
        <w:ind w:firstLine="640" w:firstLineChars="200"/>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9.住房保障支出（类）住房改革支出（款）住房公积金（项）、2023年预算26.69万元，比2022年预算增加1.16万元，增长4.54%，原因主要是在职人员工资变动住房公积金基数提高。</w:t>
      </w:r>
    </w:p>
    <w:p>
      <w:pPr>
        <w:ind w:firstLine="640" w:firstLineChars="200"/>
        <w:rPr>
          <w:rFonts w:hint="eastAsia" w:ascii="TimesNewRoman" w:hAnsi="TimesNewRoman" w:eastAsia="仿宋_GB2312" w:cs="TimesNewRoman"/>
          <w:kern w:val="0"/>
          <w:sz w:val="32"/>
          <w:szCs w:val="32"/>
          <w:lang w:val="en-US" w:eastAsia="zh-CN" w:bidi="ar-SA"/>
        </w:rPr>
      </w:pPr>
      <w:r>
        <w:rPr>
          <w:rFonts w:hint="eastAsia" w:ascii="TimesNewRoman" w:hAnsi="TimesNewRoman" w:eastAsia="仿宋_GB2312" w:cs="TimesNewRoman"/>
          <w:kern w:val="0"/>
          <w:sz w:val="32"/>
          <w:szCs w:val="32"/>
          <w:lang w:val="en-US" w:eastAsia="zh-CN" w:bidi="ar-SA"/>
        </w:rPr>
        <w:t>10.住房保障支出（类）住房改革支出（款）住房公积金（项）、购房补贴（项）2023年预算11.12万元，比2022年预算增加0.48万元，增长4.51%，原因主要是在职人员工资变动购房补贴基数提高。</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六、关于2023年</w:t>
      </w:r>
      <w:bookmarkStart w:id="1" w:name="_GoBack"/>
      <w:bookmarkEnd w:id="1"/>
      <w:r>
        <w:rPr>
          <w:rFonts w:hint="eastAsia" w:ascii="TimesNewRoman" w:hAnsi="TimesNewRoman" w:eastAsia="黑体" w:cs="TimesNewRoman"/>
          <w:bCs/>
          <w:sz w:val="32"/>
          <w:szCs w:val="32"/>
        </w:rPr>
        <w:t>一般公共预算基本支出表的说明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淮北市供销社2023年一般公共预算基本支出468.44万元，其中，人员经费434.22万元，公用经费34.22万元。</w:t>
      </w:r>
    </w:p>
    <w:p>
      <w:pPr>
        <w:ind w:firstLine="642"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（一）人员经费434.22万元，</w:t>
      </w:r>
      <w:r>
        <w:rPr>
          <w:rFonts w:hint="eastAsia" w:ascii="TimesNewRoman" w:hAnsi="TimesNewRoman" w:eastAsia="仿宋_GB2312" w:cs="TimesNewRoman"/>
          <w:kern w:val="0"/>
          <w:sz w:val="32"/>
          <w:szCs w:val="32"/>
        </w:rPr>
        <w:t>主要包括:</w:t>
      </w:r>
      <w:r>
        <w:rPr>
          <w:rFonts w:hint="eastAsia" w:ascii="仿宋_GB2312" w:hAnsi="仿宋" w:eastAsia="仿宋_GB2312"/>
          <w:sz w:val="32"/>
          <w:szCs w:val="32"/>
        </w:rPr>
        <w:t>基本工资、津贴补贴、奖金、基础绩效，机关事业单位基本养老保险费、职业年金缴费、职工基本医疗保险缴费、公务员医疗补助缴费、其他社会保障缴费、住房公积金、离休费、医疗费补助、其他对个人和家庭的补助支出</w:t>
      </w:r>
      <w:r>
        <w:rPr>
          <w:rFonts w:hint="eastAsia" w:ascii="TimesNewRoman" w:hAnsi="TimesNewRoman" w:eastAsia="仿宋_GB2312" w:cs="TimesNewRoman"/>
          <w:kern w:val="0"/>
          <w:sz w:val="32"/>
          <w:szCs w:val="32"/>
        </w:rPr>
        <w:t>。</w:t>
      </w:r>
    </w:p>
    <w:p>
      <w:pPr>
        <w:ind w:firstLine="642" w:firstLineChars="200"/>
        <w:rPr>
          <w:rFonts w:ascii="仿宋_GB2312" w:hAnsi="仿宋" w:eastAsia="仿宋_GB2312"/>
          <w:sz w:val="32"/>
          <w:szCs w:val="32"/>
        </w:rPr>
      </w:pPr>
      <w:r>
        <w:rPr>
          <w:rFonts w:hint="eastAsia" w:ascii="TimesNewRoman" w:hAnsi="TimesNewRoman" w:eastAsia="仿宋_GB2312" w:cs="TimesNewRoman"/>
          <w:b/>
          <w:kern w:val="0"/>
          <w:sz w:val="32"/>
          <w:szCs w:val="32"/>
        </w:rPr>
        <w:t>（二）公用经费34.22万元，</w:t>
      </w:r>
      <w:r>
        <w:rPr>
          <w:rFonts w:hint="eastAsia" w:ascii="TimesNewRoman" w:hAnsi="TimesNewRoman" w:eastAsia="仿宋_GB2312" w:cs="TimesNewRoman"/>
          <w:kern w:val="0"/>
          <w:sz w:val="32"/>
          <w:szCs w:val="32"/>
        </w:rPr>
        <w:t>主要包括：</w:t>
      </w:r>
      <w:r>
        <w:rPr>
          <w:rFonts w:hint="eastAsia" w:ascii="仿宋_GB2312" w:hAnsi="仿宋" w:eastAsia="仿宋_GB2312"/>
          <w:sz w:val="32"/>
          <w:szCs w:val="32"/>
        </w:rPr>
        <w:t>办公费、邮电费、差旅费、职工教育经费、福利费、工会经费、公务接待费、其他交通费用、其他商品服务支出等。</w:t>
      </w:r>
    </w:p>
    <w:p>
      <w:pPr>
        <w:ind w:firstLine="640" w:firstLineChars="200"/>
        <w:rPr>
          <w:rFonts w:ascii="TimesNewRoman" w:hAnsi="TimesNewRoman" w:eastAsia="仿宋_GB2312" w:cs="TimesNewRoman"/>
          <w:kern w:val="0"/>
          <w:sz w:val="32"/>
          <w:szCs w:val="32"/>
        </w:rPr>
      </w:pP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七、关于2023年政府性基金预算支出表的说明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淮北市供销社2023年没有政府性基金预算拨款收入，也没有使用政府性基金预算拨款安排的支出。</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八、关于2023年国有资本经营预算支出表的说明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淮北市供销社2023年没有国有资本经营预算拨款收入，也没有使用国有资本经营预算拨款安排的支出。</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九、关于2023年项目支出表的说明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淮北市供销社2023年预算共安排项目支出15.10万元，比2022年预算增减无变化，原因主要是</w:t>
      </w:r>
      <w:r>
        <w:rPr>
          <w:rFonts w:hint="eastAsia" w:ascii="仿宋_GB2312" w:hAnsi="仿宋" w:eastAsia="仿宋_GB2312"/>
          <w:sz w:val="32"/>
          <w:szCs w:val="32"/>
        </w:rPr>
        <w:t>单位响应财政部门要求，严格控制办公经费支出</w:t>
      </w:r>
      <w:r>
        <w:rPr>
          <w:rFonts w:hint="eastAsia" w:ascii="TimesNewRoman" w:hAnsi="TimesNewRoman" w:eastAsia="仿宋_GB2312" w:cs="TimesNewRoman"/>
          <w:kern w:val="0"/>
          <w:sz w:val="32"/>
          <w:szCs w:val="32"/>
        </w:rPr>
        <w:t>。主要包括：本年财政拨款安排15.10万元（其中，一般公共预算拨款安排15.10万元，政府性基金预算拨款安排0万元），财政专户管理资金安排0万元。</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十、关于2023年政府采购支出表的说明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淮北市供销社2023年没有使用一般公共预算拨款、政府性基金预算拨款、国有资本经营预算拨款、财政专户管理资金和单位资金安排的政府采购支出。</w:t>
      </w:r>
    </w:p>
    <w:p>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十一、关于2023年政府购买服务支出表的说明</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淮北市供销社2023年没有安排政府购买服务支出。</w:t>
      </w:r>
    </w:p>
    <w:p>
      <w:pPr>
        <w:pStyle w:val="4"/>
        <w:numPr>
          <w:ilvl w:val="0"/>
          <w:numId w:val="1"/>
        </w:numPr>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其他重要事项情况说明</w:t>
      </w:r>
    </w:p>
    <w:p>
      <w:pPr>
        <w:pStyle w:val="4"/>
        <w:adjustRightInd w:val="0"/>
        <w:snapToGrid w:val="0"/>
        <w:spacing w:line="560" w:lineRule="exact"/>
        <w:ind w:firstLine="640" w:firstLineChars="200"/>
        <w:rPr>
          <w:rFonts w:ascii="TimesNewRoman" w:hAnsi="TimesNewRoman" w:eastAsia="仿宋_GB2312" w:cs="TimesNewRoman"/>
          <w:sz w:val="32"/>
          <w:szCs w:val="32"/>
        </w:rPr>
      </w:pPr>
      <w:r>
        <w:rPr>
          <w:rFonts w:hint="eastAsia" w:ascii="TimesNewRoman" w:hAnsi="TimesNewRoman" w:eastAsia="仿宋_GB2312" w:cs="TimesNewRoman"/>
          <w:sz w:val="32"/>
          <w:szCs w:val="32"/>
        </w:rPr>
        <w:t>本单位本年无其他重要事项需要说明。</w:t>
      </w:r>
    </w:p>
    <w:p>
      <w:pPr>
        <w:adjustRightInd w:val="0"/>
        <w:snapToGrid w:val="0"/>
        <w:spacing w:line="58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1、“行业管理费”项目。</w:t>
      </w:r>
    </w:p>
    <w:p>
      <w:pPr>
        <w:ind w:firstLine="640" w:firstLineChars="200"/>
        <w:rPr>
          <w:rFonts w:ascii="仿宋_GB2312" w:eastAsia="仿宋_GB2312"/>
          <w:sz w:val="32"/>
          <w:szCs w:val="32"/>
        </w:rPr>
      </w:pPr>
      <w:r>
        <w:rPr>
          <w:rFonts w:hint="eastAsia" w:ascii="TimesNewRoman" w:hAnsi="TimesNewRoman" w:eastAsia="仿宋_GB2312" w:cs="TimesNewRoman"/>
          <w:kern w:val="0"/>
          <w:sz w:val="32"/>
          <w:szCs w:val="32"/>
        </w:rPr>
        <w:t>（1）项目概述。</w:t>
      </w:r>
      <w:r>
        <w:rPr>
          <w:rFonts w:hint="eastAsia" w:ascii="仿宋_GB2312" w:hAnsi="楷体" w:eastAsia="仿宋_GB2312"/>
          <w:sz w:val="32"/>
          <w:szCs w:val="32"/>
        </w:rPr>
        <w:t>为</w:t>
      </w:r>
      <w:r>
        <w:rPr>
          <w:rFonts w:hint="eastAsia" w:ascii="仿宋_GB2312" w:eastAsia="仿宋_GB2312"/>
          <w:sz w:val="32"/>
          <w:szCs w:val="32"/>
        </w:rPr>
        <w:t>加强对供销社所属基层单位的指导、协调和管理，履行主管部门的监督管理职责。</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w:t>
      </w:r>
      <w:r>
        <w:rPr>
          <w:rFonts w:hint="eastAsia" w:ascii="仿宋_GB2312" w:eastAsia="仿宋_GB2312"/>
          <w:sz w:val="32"/>
          <w:szCs w:val="32"/>
        </w:rPr>
        <w:t>淮北市人民政府办公室文件 淮政办（2002）66号《关于印发淮北市供销合作社职能配置、内设机构和人员编制规定的通知》。</w:t>
      </w:r>
    </w:p>
    <w:p>
      <w:pPr>
        <w:numPr>
          <w:ilvl w:val="0"/>
          <w:numId w:val="2"/>
        </w:numPr>
        <w:ind w:firstLine="640" w:firstLineChars="200"/>
        <w:rPr>
          <w:rFonts w:ascii="仿宋_GB2312" w:hAnsi="楷体" w:eastAsia="仿宋_GB2312"/>
          <w:sz w:val="32"/>
          <w:szCs w:val="32"/>
        </w:rPr>
      </w:pPr>
      <w:r>
        <w:rPr>
          <w:rFonts w:hint="eastAsia" w:ascii="TimesNewRoman" w:hAnsi="TimesNewRoman" w:eastAsia="仿宋_GB2312" w:cs="TimesNewRoman"/>
          <w:kern w:val="0"/>
          <w:sz w:val="32"/>
          <w:szCs w:val="32"/>
        </w:rPr>
        <w:t>实施主体。</w:t>
      </w:r>
      <w:r>
        <w:rPr>
          <w:rFonts w:hint="eastAsia" w:ascii="仿宋_GB2312" w:hAnsi="楷体" w:eastAsia="仿宋_GB2312"/>
          <w:sz w:val="32"/>
          <w:szCs w:val="32"/>
        </w:rPr>
        <w:t>淮北市供销合作社联合社。</w:t>
      </w:r>
    </w:p>
    <w:p>
      <w:pPr>
        <w:adjustRightInd w:val="0"/>
        <w:snapToGrid w:val="0"/>
        <w:spacing w:line="600" w:lineRule="exact"/>
        <w:ind w:firstLine="640" w:firstLineChars="200"/>
        <w:rPr>
          <w:rFonts w:ascii="仿宋_GB2312" w:hAnsi="仿宋" w:eastAsia="仿宋_GB2312"/>
          <w:sz w:val="32"/>
          <w:szCs w:val="32"/>
        </w:rPr>
      </w:pPr>
      <w:r>
        <w:rPr>
          <w:rFonts w:hint="eastAsia" w:ascii="TimesNewRoman" w:hAnsi="TimesNewRoman" w:eastAsia="仿宋_GB2312" w:cs="TimesNewRoman"/>
          <w:kern w:val="0"/>
          <w:sz w:val="32"/>
          <w:szCs w:val="32"/>
        </w:rPr>
        <w:t>（4）起止时间。</w:t>
      </w:r>
      <w:r>
        <w:rPr>
          <w:rFonts w:hint="eastAsia" w:ascii="仿宋_GB2312" w:eastAsia="仿宋_GB2312"/>
          <w:sz w:val="32"/>
          <w:szCs w:val="32"/>
        </w:rPr>
        <w:t>2023年1月1日-2023年12月31日</w:t>
      </w:r>
    </w:p>
    <w:p>
      <w:pPr>
        <w:ind w:firstLine="640" w:firstLineChars="200"/>
        <w:rPr>
          <w:rFonts w:ascii="仿宋_GB2312" w:eastAsia="仿宋_GB2312"/>
          <w:sz w:val="32"/>
          <w:szCs w:val="32"/>
        </w:rPr>
      </w:pPr>
      <w:r>
        <w:rPr>
          <w:rFonts w:hint="eastAsia" w:ascii="TimesNewRoman" w:hAnsi="TimesNewRoman" w:eastAsia="仿宋_GB2312" w:cs="TimesNewRoman"/>
          <w:kern w:val="0"/>
          <w:sz w:val="32"/>
          <w:szCs w:val="32"/>
        </w:rPr>
        <w:t>（5）项目内容。</w:t>
      </w:r>
      <w:r>
        <w:rPr>
          <w:rFonts w:hint="eastAsia" w:ascii="仿宋_GB2312" w:eastAsia="仿宋_GB2312"/>
          <w:sz w:val="32"/>
          <w:szCs w:val="32"/>
        </w:rPr>
        <w:t>到基层检查指导工作所需的办公、差旅等费用支出。供销社改制遗留问题（例如企业离休干部医疗金，每人7000元，共计1.4万元，租用社有资产公司办公室需要交纳水电费等）。</w:t>
      </w:r>
    </w:p>
    <w:p>
      <w:pPr>
        <w:adjustRightInd w:val="0"/>
        <w:snapToGrid w:val="0"/>
        <w:spacing w:line="600" w:lineRule="exact"/>
        <w:ind w:firstLine="640" w:firstLineChars="200"/>
        <w:rPr>
          <w:rFonts w:ascii="仿宋_GB2312" w:hAnsi="仿宋" w:eastAsia="仿宋_GB2312"/>
          <w:sz w:val="32"/>
          <w:szCs w:val="32"/>
        </w:rPr>
      </w:pPr>
      <w:r>
        <w:rPr>
          <w:rFonts w:hint="eastAsia" w:ascii="TimesNewRoman" w:hAnsi="TimesNewRoman" w:eastAsia="仿宋_GB2312" w:cs="TimesNewRoman"/>
          <w:kern w:val="0"/>
          <w:sz w:val="32"/>
          <w:szCs w:val="32"/>
        </w:rPr>
        <w:t>（6）年度预算安排。</w:t>
      </w:r>
      <w:r>
        <w:rPr>
          <w:rFonts w:hint="eastAsia" w:ascii="仿宋_GB2312" w:hAnsi="仿宋" w:eastAsia="仿宋_GB2312"/>
          <w:sz w:val="32"/>
          <w:szCs w:val="32"/>
        </w:rPr>
        <w:t>财政拨款资金2.5万元，纳入国库非税收入安排12.6万元。</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（2023年度）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pPr>
              <w:jc w:val="center"/>
              <w:rPr>
                <w:rFonts w:ascii="宋体" w:cs="宋体"/>
                <w:sz w:val="20"/>
              </w:rPr>
            </w:pPr>
            <w:r>
              <w:rPr>
                <w:rFonts w:hint="eastAsia" w:ascii="宋体" w:cs="宋体"/>
                <w:sz w:val="20"/>
              </w:rPr>
              <w:t>行业管理费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pPr>
              <w:jc w:val="center"/>
              <w:rPr>
                <w:rFonts w:ascii="宋体" w:cs="宋体"/>
                <w:sz w:val="20"/>
              </w:rPr>
            </w:pPr>
            <w:r>
              <w:rPr>
                <w:rFonts w:hint="eastAsia"/>
                <w:color w:val="000000"/>
                <w:sz w:val="20"/>
                <w:szCs w:val="20"/>
              </w:rPr>
              <w:t>淮北市供销合作社联合社　</w:t>
            </w:r>
          </w:p>
        </w:tc>
        <w:tc>
          <w:tcPr>
            <w:tcW w:w="1848" w:type="dxa"/>
            <w:tcBorders>
              <w:tl2br w:val="nil"/>
              <w:tr2bl w:val="nil"/>
            </w:tcBorders>
            <w:vAlign w:val="center"/>
          </w:tcPr>
          <w:p>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pPr>
              <w:jc w:val="center"/>
            </w:pPr>
            <w:r>
              <w:rPr>
                <w:rFonts w:hint="eastAsia"/>
                <w:color w:val="000000"/>
                <w:sz w:val="20"/>
                <w:szCs w:val="20"/>
              </w:rPr>
              <w:t>淮北市供销合作社联合社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pPr>
              <w:jc w:val="center"/>
              <w:rPr>
                <w:rFonts w:ascii="宋体" w:cs="宋体"/>
                <w:sz w:val="20"/>
              </w:rPr>
            </w:pPr>
            <w:r>
              <w:rPr>
                <w:rFonts w:hint="eastAsia" w:ascii="宋体" w:cs="宋体"/>
                <w:sz w:val="20"/>
              </w:rPr>
              <w:t>财政拨款</w:t>
            </w:r>
          </w:p>
        </w:tc>
        <w:tc>
          <w:tcPr>
            <w:tcW w:w="1848" w:type="dxa"/>
            <w:tcBorders>
              <w:tl2br w:val="nil"/>
              <w:tr2bl w:val="nil"/>
            </w:tcBorders>
            <w:vAlign w:val="center"/>
          </w:tcPr>
          <w:p>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pPr>
              <w:jc w:val="center"/>
            </w:pPr>
            <w:r>
              <w:rPr>
                <w:rFonts w:hint="eastAsia"/>
              </w:rPr>
              <w:t>2023.01.01-2023.12.31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项目资金</w:t>
            </w:r>
          </w:p>
          <w:p>
            <w:pPr>
              <w:widowControl/>
              <w:jc w:val="center"/>
              <w:textAlignment w:val="center"/>
              <w:rPr>
                <w:rFonts w:ascii="宋体" w:cs="宋体"/>
                <w:sz w:val="20"/>
              </w:rPr>
            </w:pP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pPr>
              <w:jc w:val="right"/>
              <w:rPr>
                <w:rFonts w:ascii="宋体" w:cs="宋体"/>
                <w:sz w:val="20"/>
              </w:rPr>
            </w:pPr>
            <w:r>
              <w:rPr>
                <w:rFonts w:hint="eastAsia" w:ascii="宋体" w:cs="宋体"/>
                <w:sz w:val="20"/>
              </w:rPr>
              <w:t>15.10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pPr>
              <w:jc w:val="right"/>
              <w:rPr>
                <w:rFonts w:ascii="宋体" w:cs="宋体"/>
                <w:sz w:val="20"/>
              </w:rPr>
            </w:pPr>
            <w:r>
              <w:rPr>
                <w:rFonts w:hint="eastAsia" w:ascii="宋体" w:cs="宋体"/>
                <w:sz w:val="20"/>
              </w:rPr>
              <w:t>15.10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pPr>
              <w:jc w:val="center"/>
              <w:rPr>
                <w:rFonts w:ascii="宋体" w:cs="宋体"/>
                <w:sz w:val="20"/>
              </w:rPr>
            </w:pPr>
          </w:p>
        </w:tc>
        <w:tc>
          <w:tcPr>
            <w:tcW w:w="3349" w:type="dxa"/>
            <w:gridSpan w:val="2"/>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pPr>
              <w:jc w:val="right"/>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pPr>
              <w:widowControl/>
              <w:spacing w:line="20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年度</w:t>
            </w:r>
          </w:p>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pPr>
              <w:jc w:val="left"/>
              <w:rPr>
                <w:rFonts w:ascii="宋体" w:cs="宋体"/>
                <w:sz w:val="20"/>
              </w:rPr>
            </w:pPr>
            <w:r>
              <w:rPr>
                <w:rFonts w:hint="eastAsia" w:ascii="宋体" w:hAnsi="宋体" w:cs="宋体"/>
                <w:sz w:val="20"/>
                <w:szCs w:val="20"/>
              </w:rPr>
              <w:t>加强对供销社所属基层单位指导、协调和管理，履行主管部门的监督管理职责。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绩</w:t>
            </w:r>
          </w:p>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效</w:t>
            </w:r>
          </w:p>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指</w:t>
            </w:r>
          </w:p>
          <w:p>
            <w:pPr>
              <w:widowControl/>
              <w:jc w:val="center"/>
              <w:textAlignment w:val="center"/>
              <w:rPr>
                <w:rFonts w:ascii="宋体" w:cs="宋体"/>
                <w:sz w:val="20"/>
              </w:rPr>
            </w:pPr>
            <w:r>
              <w:rPr>
                <w:rFonts w:hint="eastAsia" w:ascii="宋体" w:hAnsi="宋体" w:eastAsia="宋体" w:cs="宋体"/>
                <w:color w:val="000000"/>
                <w:kern w:val="0"/>
                <w:sz w:val="20"/>
                <w:szCs w:val="20"/>
              </w:rPr>
              <w:t>标</w:t>
            </w:r>
          </w:p>
        </w:tc>
        <w:tc>
          <w:tcPr>
            <w:tcW w:w="723" w:type="dxa"/>
            <w:tcBorders>
              <w:tl2br w:val="nil"/>
              <w:tr2bl w:val="nil"/>
            </w:tcBorders>
            <w:vAlign w:val="center"/>
          </w:tcPr>
          <w:p>
            <w:pPr>
              <w:widowControl/>
              <w:spacing w:line="200" w:lineRule="exact"/>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一级</w:t>
            </w:r>
          </w:p>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1个</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jc w:val="left"/>
              <w:textAlignment w:val="center"/>
              <w:rPr>
                <w:rFonts w:ascii="宋体" w:cs="宋体"/>
                <w:sz w:val="20"/>
              </w:rPr>
            </w:pP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保质保量履行</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jc w:val="left"/>
              <w:textAlignment w:val="center"/>
              <w:rPr>
                <w:rFonts w:ascii="宋体" w:cs="宋体"/>
                <w:sz w:val="20"/>
              </w:rPr>
            </w:pP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pPr>
              <w:widowControl/>
              <w:jc w:val="left"/>
              <w:textAlignment w:val="center"/>
              <w:rPr>
                <w:rFonts w:ascii="宋体" w:cs="宋体"/>
                <w:sz w:val="20"/>
              </w:rPr>
            </w:pPr>
            <w:r>
              <w:rPr>
                <w:rFonts w:hint="eastAsia"/>
                <w:sz w:val="20"/>
                <w:szCs w:val="20"/>
              </w:rPr>
              <w:t>年中按序时进度完成</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rPr>
              <w:t>年内完成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jc w:val="left"/>
              <w:textAlignment w:val="center"/>
              <w:rPr>
                <w:rFonts w:ascii="宋体" w:cs="宋体"/>
                <w:sz w:val="20"/>
              </w:rPr>
            </w:pP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管理成本优化</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rPr>
              <w:t>降低监管成本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jc w:val="left"/>
              <w:textAlignment w:val="center"/>
              <w:rPr>
                <w:rFonts w:ascii="宋体" w:cs="宋体"/>
                <w:sz w:val="20"/>
              </w:rPr>
            </w:pPr>
            <w:r>
              <w:rPr>
                <w:rFonts w:hint="eastAsia" w:ascii="汉仪中秀体简" w:hAnsi="汉仪中秀体简" w:eastAsia="汉仪中秀体简" w:cs="汉仪中秀体简"/>
                <w:color w:val="000000"/>
                <w:kern w:val="0"/>
                <w:sz w:val="20"/>
                <w:szCs w:val="20"/>
              </w:rPr>
              <w:t xml:space="preserve"> </w:t>
            </w: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p>
        </w:tc>
        <w:tc>
          <w:tcPr>
            <w:tcW w:w="2872" w:type="dxa"/>
            <w:tcBorders>
              <w:tl2br w:val="nil"/>
              <w:tr2bl w:val="nil"/>
            </w:tcBorders>
            <w:vAlign w:val="center"/>
          </w:tcPr>
          <w:p>
            <w:pPr>
              <w:jc w:val="left"/>
              <w:rPr>
                <w:rFonts w:ascii="宋体" w:cs="宋体"/>
                <w:sz w:val="20"/>
              </w:rPr>
            </w:pP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restart"/>
            <w:tcBorders>
              <w:tl2br w:val="nil"/>
              <w:tr2bl w:val="nil"/>
            </w:tcBorders>
            <w:vAlign w:val="center"/>
          </w:tcPr>
          <w:p>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基层单位增加收入</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jc w:val="left"/>
              <w:textAlignment w:val="center"/>
              <w:rPr>
                <w:rFonts w:ascii="宋体" w:cs="宋体"/>
                <w:sz w:val="20"/>
              </w:rPr>
            </w:pPr>
            <w:r>
              <w:rPr>
                <w:rFonts w:hint="eastAsia" w:ascii="汉仪中秀体简" w:hAnsi="汉仪中秀体简" w:eastAsia="汉仪中秀体简" w:cs="汉仪中秀体简"/>
                <w:color w:val="000000"/>
                <w:kern w:val="0"/>
                <w:sz w:val="20"/>
                <w:szCs w:val="20"/>
              </w:rPr>
              <w:t xml:space="preserve"> </w:t>
            </w: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cs="宋体"/>
                <w:sz w:val="20"/>
                <w:szCs w:val="20"/>
              </w:rPr>
              <w:t>解决改制遗留问题</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jc w:val="left"/>
              <w:textAlignment w:val="center"/>
              <w:rPr>
                <w:rFonts w:ascii="宋体" w:cs="宋体"/>
                <w:sz w:val="20"/>
              </w:rPr>
            </w:pPr>
            <w:r>
              <w:rPr>
                <w:rFonts w:hint="eastAsia" w:ascii="汉仪中秀体简" w:hAnsi="汉仪中秀体简" w:eastAsia="汉仪中秀体简" w:cs="汉仪中秀体简"/>
                <w:color w:val="000000"/>
                <w:kern w:val="0"/>
                <w:sz w:val="20"/>
                <w:szCs w:val="20"/>
              </w:rPr>
              <w:t xml:space="preserve"> </w:t>
            </w: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restart"/>
            <w:tcBorders>
              <w:tl2br w:val="nil"/>
              <w:tr2bl w:val="nil"/>
            </w:tcBorders>
            <w:vAlign w:val="center"/>
          </w:tcPr>
          <w:p>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pPr>
              <w:widowControl/>
              <w:jc w:val="left"/>
              <w:textAlignment w:val="center"/>
              <w:rPr>
                <w:rFonts w:ascii="宋体" w:cs="宋体"/>
                <w:sz w:val="20"/>
              </w:rPr>
            </w:pPr>
            <w:r>
              <w:rPr>
                <w:rFonts w:hint="eastAsia" w:ascii="宋体" w:hAnsi="宋体" w:eastAsia="宋体" w:cs="宋体"/>
                <w:color w:val="000000"/>
                <w:kern w:val="0"/>
                <w:sz w:val="20"/>
                <w:szCs w:val="20"/>
              </w:rPr>
              <w:t xml:space="preserve"> 绿色农业发展</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rPr>
              <w:t>生态监管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cs="宋体"/>
                <w:sz w:val="20"/>
              </w:rPr>
            </w:pPr>
          </w:p>
        </w:tc>
        <w:tc>
          <w:tcPr>
            <w:tcW w:w="2872" w:type="dxa"/>
            <w:tcBorders>
              <w:tl2br w:val="nil"/>
              <w:tr2bl w:val="nil"/>
            </w:tcBorders>
            <w:vAlign w:val="center"/>
          </w:tcPr>
          <w:p>
            <w:pPr>
              <w:widowControl/>
              <w:jc w:val="left"/>
              <w:textAlignment w:val="center"/>
              <w:rPr>
                <w:rFonts w:ascii="汉仪中秀体简" w:hAnsi="汉仪中秀体简" w:eastAsia="汉仪中秀体简" w:cs="汉仪中秀体简"/>
                <w:color w:val="000000"/>
                <w:kern w:val="0"/>
                <w:sz w:val="20"/>
                <w:szCs w:val="20"/>
              </w:rPr>
            </w:pPr>
            <w:r>
              <w:rPr>
                <w:rFonts w:hint="eastAsia" w:ascii="汉仪中秀体简" w:hAnsi="汉仪中秀体简" w:eastAsia="汉仪中秀体简" w:cs="汉仪中秀体简"/>
                <w:color w:val="000000"/>
                <w:kern w:val="0"/>
                <w:sz w:val="20"/>
                <w:szCs w:val="20"/>
              </w:rPr>
              <w:t xml:space="preserve"> </w:t>
            </w:r>
          </w:p>
        </w:tc>
        <w:tc>
          <w:tcPr>
            <w:tcW w:w="4228" w:type="dxa"/>
            <w:gridSpan w:val="2"/>
            <w:tcBorders>
              <w:tl2br w:val="nil"/>
              <w:tr2bl w:val="nil"/>
            </w:tcBorders>
            <w:vAlign w:val="center"/>
          </w:tcPr>
          <w:p>
            <w:pPr>
              <w:widowControl/>
              <w:jc w:val="left"/>
              <w:textAlignment w:val="center"/>
              <w:rPr>
                <w:rFonts w:ascii="汉仪中秀体简" w:hAnsi="汉仪中秀体简" w:eastAsia="汉仪中秀体简" w:cs="汉仪中秀体简"/>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restart"/>
            <w:tcBorders>
              <w:tl2br w:val="nil"/>
              <w:tr2bl w:val="nil"/>
            </w:tcBorders>
            <w:vAlign w:val="center"/>
          </w:tcPr>
          <w:p>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 xml:space="preserve"> 服务三农</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rPr>
              <w:t>加强服务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vMerge w:val="continue"/>
            <w:tcBorders>
              <w:tl2br w:val="nil"/>
              <w:tr2bl w:val="nil"/>
            </w:tcBorders>
            <w:vAlign w:val="center"/>
          </w:tcPr>
          <w:p>
            <w:pPr>
              <w:jc w:val="center"/>
              <w:rPr>
                <w:rFonts w:ascii="宋体" w:hAnsi="宋体" w:eastAsia="宋体" w:cs="宋体"/>
                <w:sz w:val="20"/>
              </w:rPr>
            </w:pPr>
          </w:p>
        </w:tc>
        <w:tc>
          <w:tcPr>
            <w:tcW w:w="2872" w:type="dxa"/>
            <w:tcBorders>
              <w:tl2br w:val="nil"/>
              <w:tr2bl w:val="nil"/>
            </w:tcBorders>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w:t>
            </w: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cs="宋体"/>
                <w:sz w:val="20"/>
              </w:rPr>
            </w:pPr>
          </w:p>
        </w:tc>
        <w:tc>
          <w:tcPr>
            <w:tcW w:w="759" w:type="dxa"/>
            <w:gridSpan w:val="2"/>
            <w:tcBorders>
              <w:tl2br w:val="nil"/>
              <w:tr2bl w:val="nil"/>
            </w:tcBorders>
            <w:vAlign w:val="center"/>
          </w:tcPr>
          <w:p>
            <w:pPr>
              <w:jc w:val="center"/>
              <w:rPr>
                <w:rFonts w:ascii="宋体" w:hAnsi="宋体" w:eastAsia="宋体" w:cs="宋体"/>
                <w:sz w:val="20"/>
              </w:rPr>
            </w:pPr>
            <w:r>
              <w:rPr>
                <w:rFonts w:hint="eastAsia" w:ascii="宋体" w:hAnsi="宋体" w:eastAsia="宋体" w:cs="宋体"/>
                <w:color w:val="000000"/>
                <w:kern w:val="0"/>
                <w:sz w:val="20"/>
                <w:szCs w:val="20"/>
              </w:rPr>
              <w:t>…</w:t>
            </w:r>
          </w:p>
        </w:tc>
        <w:tc>
          <w:tcPr>
            <w:tcW w:w="2872" w:type="dxa"/>
            <w:tcBorders>
              <w:tl2br w:val="nil"/>
              <w:tr2bl w:val="nil"/>
            </w:tcBorders>
            <w:vAlign w:val="center"/>
          </w:tcPr>
          <w:p>
            <w:pPr>
              <w:widowControl/>
              <w:jc w:val="left"/>
              <w:textAlignment w:val="center"/>
              <w:rPr>
                <w:rFonts w:ascii="宋体" w:hAnsi="宋体" w:eastAsia="宋体" w:cs="宋体"/>
                <w:color w:val="000000"/>
                <w:kern w:val="0"/>
                <w:sz w:val="20"/>
                <w:szCs w:val="20"/>
              </w:rPr>
            </w:pPr>
          </w:p>
        </w:tc>
        <w:tc>
          <w:tcPr>
            <w:tcW w:w="4228" w:type="dxa"/>
            <w:gridSpan w:val="2"/>
            <w:tcBorders>
              <w:tl2br w:val="nil"/>
              <w:tr2bl w:val="nil"/>
            </w:tcBorders>
            <w:vAlign w:val="center"/>
          </w:tcPr>
          <w:p>
            <w:pPr>
              <w:jc w:val="center"/>
              <w:rPr>
                <w:rFonts w:ascii="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restart"/>
            <w:tcBorders>
              <w:tl2br w:val="nil"/>
              <w:tr2bl w:val="nil"/>
            </w:tcBorders>
            <w:vAlign w:val="center"/>
          </w:tcPr>
          <w:p>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vMerge w:val="restart"/>
            <w:tcBorders>
              <w:tl2br w:val="nil"/>
              <w:tr2bl w:val="nil"/>
            </w:tcBorders>
            <w:vAlign w:val="center"/>
          </w:tcPr>
          <w:p>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pPr>
              <w:widowControl/>
              <w:jc w:val="left"/>
              <w:textAlignment w:val="center"/>
              <w:rPr>
                <w:rFonts w:ascii="宋体" w:hAnsi="宋体" w:eastAsia="宋体" w:cs="宋体"/>
                <w:sz w:val="20"/>
              </w:rPr>
            </w:pPr>
            <w:r>
              <w:rPr>
                <w:rFonts w:hint="eastAsia" w:ascii="宋体" w:hAnsi="宋体" w:cs="宋体"/>
                <w:sz w:val="20"/>
                <w:szCs w:val="20"/>
              </w:rPr>
              <w:t>提高基层单位满意度</w:t>
            </w:r>
          </w:p>
        </w:tc>
        <w:tc>
          <w:tcPr>
            <w:tcW w:w="4228" w:type="dxa"/>
            <w:gridSpan w:val="2"/>
            <w:tcBorders>
              <w:tl2br w:val="nil"/>
              <w:tr2bl w:val="nil"/>
            </w:tcBorders>
            <w:vAlign w:val="center"/>
          </w:tcPr>
          <w:p>
            <w:pPr>
              <w:jc w:val="center"/>
              <w:rPr>
                <w:rFonts w:ascii="宋体" w:cs="宋体"/>
                <w:sz w:val="20"/>
              </w:rPr>
            </w:pPr>
            <w:r>
              <w:rPr>
                <w:rFonts w:hint="eastAsia" w:ascii="宋体" w:cs="宋体"/>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pPr>
              <w:jc w:val="center"/>
              <w:rPr>
                <w:rFonts w:ascii="宋体" w:cs="宋体"/>
                <w:sz w:val="20"/>
              </w:rPr>
            </w:pPr>
          </w:p>
        </w:tc>
        <w:tc>
          <w:tcPr>
            <w:tcW w:w="723" w:type="dxa"/>
            <w:vMerge w:val="continue"/>
            <w:tcBorders>
              <w:tl2br w:val="nil"/>
              <w:tr2bl w:val="nil"/>
            </w:tcBorders>
            <w:vAlign w:val="center"/>
          </w:tcPr>
          <w:p>
            <w:pPr>
              <w:jc w:val="center"/>
              <w:rPr>
                <w:rFonts w:ascii="宋体" w:hAnsi="宋体" w:eastAsia="宋体" w:cs="宋体"/>
                <w:sz w:val="20"/>
              </w:rPr>
            </w:pPr>
          </w:p>
        </w:tc>
        <w:tc>
          <w:tcPr>
            <w:tcW w:w="759" w:type="dxa"/>
            <w:gridSpan w:val="2"/>
            <w:vMerge w:val="continue"/>
            <w:tcBorders>
              <w:tl2br w:val="nil"/>
              <w:tr2bl w:val="nil"/>
            </w:tcBorders>
            <w:vAlign w:val="center"/>
          </w:tcPr>
          <w:p>
            <w:pPr>
              <w:jc w:val="center"/>
              <w:rPr>
                <w:rFonts w:ascii="宋体" w:hAnsi="宋体" w:eastAsia="宋体" w:cs="宋体"/>
                <w:sz w:val="20"/>
              </w:rPr>
            </w:pPr>
          </w:p>
        </w:tc>
        <w:tc>
          <w:tcPr>
            <w:tcW w:w="2872" w:type="dxa"/>
            <w:tcBorders>
              <w:tl2br w:val="nil"/>
              <w:tr2bl w:val="nil"/>
            </w:tcBorders>
            <w:vAlign w:val="center"/>
          </w:tcPr>
          <w:p>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w:t>
            </w:r>
          </w:p>
        </w:tc>
        <w:tc>
          <w:tcPr>
            <w:tcW w:w="4228" w:type="dxa"/>
            <w:gridSpan w:val="2"/>
            <w:tcBorders>
              <w:tl2br w:val="nil"/>
              <w:tr2bl w:val="nil"/>
            </w:tcBorders>
            <w:vAlign w:val="center"/>
          </w:tcPr>
          <w:p>
            <w:pPr>
              <w:jc w:val="center"/>
              <w:rPr>
                <w:rFonts w:ascii="宋体" w:cs="宋体"/>
                <w:sz w:val="20"/>
              </w:rPr>
            </w:pPr>
          </w:p>
        </w:tc>
      </w:tr>
    </w:tbl>
    <w:p>
      <w:pPr>
        <w:ind w:firstLine="420" w:firstLineChars="200"/>
      </w:pPr>
    </w:p>
    <w:p>
      <w:pPr>
        <w:ind w:firstLine="420" w:firstLineChars="200"/>
      </w:pPr>
    </w:p>
    <w:p>
      <w:pPr>
        <w:adjustRightInd w:val="0"/>
        <w:snapToGrid w:val="0"/>
        <w:spacing w:line="58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淮北市供销社2023年机关运行经费财政拨款预算55.10万元，比2022年预算减少4.56万元，下降7.64%，原因主要是</w:t>
      </w:r>
      <w:r>
        <w:rPr>
          <w:rFonts w:hint="eastAsia" w:ascii="仿宋_GB2312" w:hAnsi="仿宋" w:eastAsia="仿宋_GB2312"/>
          <w:sz w:val="32"/>
          <w:szCs w:val="32"/>
        </w:rPr>
        <w:t>在职人员和离退休人员人数及工资变动综合影响</w:t>
      </w:r>
      <w:r>
        <w:rPr>
          <w:rFonts w:hint="eastAsia" w:ascii="TimesNewRoman" w:hAnsi="TimesNewRoman" w:eastAsia="仿宋_GB2312" w:cs="TimesNewRoman"/>
          <w:kern w:val="0"/>
          <w:sz w:val="32"/>
          <w:szCs w:val="32"/>
        </w:rPr>
        <w:t>。</w:t>
      </w:r>
    </w:p>
    <w:p>
      <w:pPr>
        <w:adjustRightInd w:val="0"/>
        <w:snapToGrid w:val="0"/>
        <w:spacing w:line="58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淮北市供销社2023年政府采购预算0万元。其中：政府采购货物预算0万元，政府采购工程预算0万元，政府采购服务预算0万元。</w:t>
      </w:r>
    </w:p>
    <w:p>
      <w:pPr>
        <w:adjustRightInd w:val="0"/>
        <w:snapToGrid w:val="0"/>
        <w:spacing w:line="58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截至2022年12月31日，淮北市供销社共有车辆1辆，其中：其他用车1辆。单价50万元以上的通用设备0台（套），单价100万元以上的专用设备0台（套）。</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2023年部门（单位）预算安排购置公务用车0辆，购置费0万元，；安排购置单价50万元以上的通用设备0台（套），购置费0万元；安排购置单价100万元以上专用设备0台（套），购置费0万元。</w:t>
      </w:r>
    </w:p>
    <w:p>
      <w:pPr>
        <w:adjustRightInd w:val="0"/>
        <w:snapToGrid w:val="0"/>
        <w:spacing w:line="580" w:lineRule="exact"/>
        <w:ind w:firstLine="642"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2023年，淮北市供销社1个项目实行了绩效目标管理，涉及一般公共预算当年财政拨款15.10万元、政府性基金预算当年财政拨款0万元、财政专户管理资金当年安排0万元。</w:t>
      </w:r>
    </w:p>
    <w:p/>
    <w:p>
      <w:pPr>
        <w:pStyle w:val="4"/>
        <w:adjustRightInd w:val="0"/>
        <w:snapToGrid w:val="0"/>
        <w:spacing w:line="560" w:lineRule="exact"/>
        <w:jc w:val="center"/>
        <w:rPr>
          <w:rFonts w:ascii="TimesNewRoman" w:hAnsi="TimesNewRoman" w:eastAsia="黑体" w:cs="TimesNewRoman"/>
          <w:bCs/>
          <w:sz w:val="36"/>
          <w:szCs w:val="36"/>
        </w:rPr>
      </w:pPr>
    </w:p>
    <w:p>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p>
      <w:pPr>
        <w:pStyle w:val="4"/>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pPr>
        <w:pStyle w:val="4"/>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pPr>
        <w:pStyle w:val="4"/>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pPr>
        <w:pStyle w:val="4"/>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pPr>
        <w:pStyle w:val="4"/>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pPr>
        <w:pStyle w:val="4"/>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pPr>
        <w:pStyle w:val="4"/>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pPr>
        <w:pStyle w:val="4"/>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pPr>
        <w:pStyle w:val="4"/>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pPr>
        <w:pStyle w:val="4"/>
        <w:adjustRightInd w:val="0"/>
        <w:snapToGrid w:val="0"/>
        <w:spacing w:line="560" w:lineRule="exact"/>
        <w:ind w:firstLine="629"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
    <w:p/>
    <w:p/>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TimesNewRoman">
    <w:altName w:val="DejaVu Sans"/>
    <w:panose1 w:val="00000000000000000000"/>
    <w:charset w:val="00"/>
    <w:family w:val="auto"/>
    <w:pitch w:val="default"/>
    <w:sig w:usb0="00000000" w:usb1="00000000" w:usb2="00000029" w:usb3="00000000" w:csb0="600001FF" w:csb1="FFFF0000"/>
  </w:font>
  <w:font w:name="华文中宋">
    <w:altName w:val="汉仪中宋简"/>
    <w:panose1 w:val="02010600040101010101"/>
    <w:charset w:val="86"/>
    <w:family w:val="auto"/>
    <w:pitch w:val="default"/>
    <w:sig w:usb0="00000000" w:usb1="00000000" w:usb2="00000010" w:usb3="00000000" w:csb0="0004009F"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汉仪中秀体简">
    <w:altName w:val="Noto Serif CJK JP"/>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erif CJK JP">
    <w:panose1 w:val="02020400000000000000"/>
    <w:charset w:val="86"/>
    <w:family w:val="auto"/>
    <w:pitch w:val="default"/>
    <w:sig w:usb0="30000083" w:usb1="2BDF3C10" w:usb2="00000016" w:usb3="00000000" w:csb0="602E0107" w:csb1="00000000"/>
  </w:font>
  <w:font w:name="仿宋_GB2312">
    <w:altName w:val="方正仿宋_GBK"/>
    <w:panose1 w:val="02010609030101010101"/>
    <w:charset w:val="00"/>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8B79B2"/>
    <w:multiLevelType w:val="singleLevel"/>
    <w:tmpl w:val="468B79B2"/>
    <w:lvl w:ilvl="0" w:tentative="0">
      <w:start w:val="12"/>
      <w:numFmt w:val="chineseCounting"/>
      <w:suff w:val="nothing"/>
      <w:lvlText w:val="%1、"/>
      <w:lvlJc w:val="left"/>
      <w:rPr>
        <w:rFonts w:hint="eastAsia"/>
      </w:rPr>
    </w:lvl>
  </w:abstractNum>
  <w:abstractNum w:abstractNumId="1">
    <w:nsid w:val="48EEC6B7"/>
    <w:multiLevelType w:val="singleLevel"/>
    <w:tmpl w:val="48EEC6B7"/>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xNjI5NTkxZjM3Yzg5MjEyMDBiZmM5YWI3NTJhMjQifQ=="/>
  </w:docVars>
  <w:rsids>
    <w:rsidRoot w:val="00E907C4"/>
    <w:rsid w:val="00264089"/>
    <w:rsid w:val="003C7777"/>
    <w:rsid w:val="003D01BB"/>
    <w:rsid w:val="0057562B"/>
    <w:rsid w:val="006546AF"/>
    <w:rsid w:val="008B10E9"/>
    <w:rsid w:val="008F6D1A"/>
    <w:rsid w:val="009A3CA3"/>
    <w:rsid w:val="009B2C9B"/>
    <w:rsid w:val="00AE3242"/>
    <w:rsid w:val="00B40D4F"/>
    <w:rsid w:val="00BD4FAE"/>
    <w:rsid w:val="00E24B07"/>
    <w:rsid w:val="00E907C4"/>
    <w:rsid w:val="00EC7755"/>
    <w:rsid w:val="1C2D2A4D"/>
    <w:rsid w:val="1D8133B9"/>
    <w:rsid w:val="26CD4248"/>
    <w:rsid w:val="2BEF4509"/>
    <w:rsid w:val="2EBA0CEE"/>
    <w:rsid w:val="32D9379F"/>
    <w:rsid w:val="3DFD62E4"/>
    <w:rsid w:val="3F0B4C4E"/>
    <w:rsid w:val="3FFFA317"/>
    <w:rsid w:val="5DD6B1FE"/>
    <w:rsid w:val="66A54C10"/>
    <w:rsid w:val="77CFA684"/>
    <w:rsid w:val="77FB4F87"/>
    <w:rsid w:val="7EE301C8"/>
    <w:rsid w:val="7FFFD4FA"/>
    <w:rsid w:val="F8F054DB"/>
    <w:rsid w:val="FD4C4AE1"/>
    <w:rsid w:val="FE7F8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837</Words>
  <Characters>4775</Characters>
  <Lines>39</Lines>
  <Paragraphs>11</Paragraphs>
  <TotalTime>11</TotalTime>
  <ScaleCrop>false</ScaleCrop>
  <LinksUpToDate>false</LinksUpToDate>
  <CharactersWithSpaces>5601</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2023-01-30T17:51:00Z</dcterms:created>
  <dc:creator>lenovo</dc:creator>
  <cp:lastModifiedBy>user</cp:lastModifiedBy>
  <dcterms:modified xsi:type="dcterms:W3CDTF">2024-09-20T10:19:28Z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96AE4F6A62624FFAA8A06D74AFB51D61</vt:lpwstr>
  </property>
</Properties>
</file>